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9F5AC2">
        <w:rPr>
          <w:rFonts w:ascii="Times New Roman" w:hAnsi="Times New Roman" w:cs="Times New Roman"/>
          <w:b/>
          <w:bC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49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</w:t>
      </w:r>
      <w:r w:rsidR="006C3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1749" w:rsidRDefault="00EA1749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B95898">
        <w:rPr>
          <w:rFonts w:ascii="Times New Roman" w:hAnsi="Times New Roman" w:cs="Times New Roman"/>
          <w:b/>
          <w:sz w:val="32"/>
          <w:szCs w:val="32"/>
        </w:rPr>
        <w:t>ПМ 01.</w:t>
      </w:r>
      <w:proofErr w:type="gramEnd"/>
      <w:r w:rsidR="00B95898">
        <w:rPr>
          <w:rFonts w:ascii="Times New Roman" w:hAnsi="Times New Roman" w:cs="Times New Roman"/>
          <w:b/>
          <w:sz w:val="32"/>
          <w:szCs w:val="32"/>
        </w:rPr>
        <w:t xml:space="preserve"> Организационно-техническое обеспечение </w:t>
      </w:r>
    </w:p>
    <w:p w:rsidR="009F5AC2" w:rsidRPr="009644E8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судов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7706EC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Набор 2023</w:t>
      </w:r>
      <w:r w:rsidR="009F5AC2"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/специальность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898">
        <w:rPr>
          <w:rFonts w:ascii="Times New Roman" w:hAnsi="Times New Roman" w:cs="Times New Roman"/>
          <w:b/>
          <w:sz w:val="24"/>
          <w:szCs w:val="24"/>
        </w:rPr>
        <w:t>40.02.03 Прав</w:t>
      </w:r>
      <w:r w:rsidR="00001614">
        <w:rPr>
          <w:rFonts w:ascii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68" w:rsidRDefault="000534A2" w:rsidP="000904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34A2">
        <w:rPr>
          <w:rFonts w:ascii="Times New Roman" w:hAnsi="Times New Roman" w:cs="Times New Roman"/>
          <w:b/>
          <w:bCs/>
          <w:sz w:val="24"/>
          <w:szCs w:val="24"/>
        </w:rPr>
        <w:t>Профиль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/специализация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(базовый </w:t>
      </w:r>
      <w:r w:rsidR="00224981">
        <w:rPr>
          <w:rFonts w:ascii="Times New Roman" w:hAnsi="Times New Roman" w:cs="Times New Roman"/>
          <w:bCs/>
          <w:sz w:val="24"/>
          <w:szCs w:val="24"/>
        </w:rPr>
        <w:t xml:space="preserve">уровень, срок обучения – </w:t>
      </w:r>
      <w:proofErr w:type="gramEnd"/>
    </w:p>
    <w:p w:rsidR="009F5AC2" w:rsidRPr="000534A2" w:rsidRDefault="00224981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10 месяцев</w:t>
      </w:r>
      <w:proofErr w:type="gramStart"/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B9589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0534A2"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Латышева Наталья Аркадьевна, кандидат юридических наук 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69" w:rsidRDefault="00E97F6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7F69" w:rsidRPr="00C76AC8" w:rsidRDefault="007706EC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9</w:t>
      </w:r>
      <w:r w:rsidR="00EA1749">
        <w:rPr>
          <w:rFonts w:ascii="Times New Roman" w:hAnsi="Times New Roman" w:cs="Times New Roman"/>
          <w:sz w:val="24"/>
          <w:szCs w:val="24"/>
        </w:rPr>
        <w:t xml:space="preserve">, </w:t>
      </w:r>
      <w:r w:rsidR="00EA1749" w:rsidRPr="00474C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апреля 2023</w:t>
      </w:r>
      <w:r w:rsidR="00E97F6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7706EC">
        <w:rPr>
          <w:rFonts w:ascii="Times New Roman" w:hAnsi="Times New Roman" w:cs="Times New Roman"/>
          <w:sz w:val="24"/>
          <w:szCs w:val="24"/>
        </w:rPr>
        <w:t>3</w:t>
      </w:r>
    </w:p>
    <w:p w:rsidR="00751B2D" w:rsidRPr="009A2E71" w:rsidRDefault="00751B2D" w:rsidP="00751B2D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751B2D" w:rsidRPr="009A2E71" w:rsidRDefault="005F078E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6008FF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тация программы учебной</w:t>
      </w: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751B2D" w:rsidRPr="009A2E71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сиональных компетенций в сфере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различных направлений организационно-технического обеспечения работы суда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tabs>
                <w:tab w:val="left" w:pos="300"/>
              </w:tabs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Программа учебной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практики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Учебная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», проводит</w:t>
            </w:r>
            <w:r w:rsidR="0022498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ся в 5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семестре 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54 часа – 1 неделя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Индивидуальное задание;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Отчет о прохождении практики;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751B2D" w:rsidRPr="00A03957" w:rsidRDefault="005F078E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</w:t>
            </w:r>
            <w:r w:rsidR="00751B2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ачёт</w:t>
            </w:r>
          </w:p>
        </w:tc>
      </w:tr>
    </w:tbl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5"/>
        <w:spacing w:line="240" w:lineRule="auto"/>
        <w:rPr>
          <w:bCs/>
          <w:i/>
          <w:sz w:val="22"/>
          <w:szCs w:val="22"/>
        </w:rPr>
      </w:pPr>
    </w:p>
    <w:p w:rsidR="00A277B9" w:rsidRDefault="00A277B9" w:rsidP="00A277B9"/>
    <w:p w:rsidR="00A277B9" w:rsidRPr="00A277B9" w:rsidRDefault="00A277B9" w:rsidP="00A277B9"/>
    <w:p w:rsidR="00751B2D" w:rsidRPr="004E32FD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Цель и задачи учебной</w:t>
      </w:r>
      <w:r w:rsidRPr="004E32FD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751B2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различных направлений организационно-технического обеспечения работы суда</w:t>
      </w:r>
      <w:r w:rsidR="00001614">
        <w:rPr>
          <w:rFonts w:ascii="Times New Roman" w:hAnsi="Times New Roman" w:cs="Times New Roman"/>
          <w:sz w:val="24"/>
          <w:szCs w:val="24"/>
        </w:rPr>
        <w:t>.</w:t>
      </w:r>
    </w:p>
    <w:p w:rsidR="00751B2D" w:rsidRPr="004C66F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C901F1" w:rsidRPr="00C901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профессионального  </w:t>
      </w:r>
      <w:bookmarkStart w:id="0" w:name="_GoBack"/>
      <w:bookmarkEnd w:id="0"/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751B2D" w:rsidRPr="004E32F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получение первичных умений и навыков в сфере профессиональной деятельности юриста;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выработка у студентов навыков самостоятельного изучения нормативных правовых актов и их практического применения;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приобретение опыта работы в судах Санкт-Петербурга и Ленинградской области;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работать с нормативными документами в сфере судебной деятельности; 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751B2D" w:rsidRPr="006104BC" w:rsidRDefault="00001614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51B2D">
        <w:rPr>
          <w:rFonts w:ascii="Times New Roman" w:hAnsi="Times New Roman" w:cs="Times New Roman"/>
          <w:sz w:val="24"/>
          <w:szCs w:val="24"/>
        </w:rPr>
        <w:t>чебная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751B2D">
        <w:rPr>
          <w:rFonts w:ascii="Times New Roman" w:hAnsi="Times New Roman" w:cs="Times New Roman"/>
          <w:sz w:val="24"/>
          <w:szCs w:val="24"/>
        </w:rPr>
        <w:t>ПМ 01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етствии с ФГОС: учебная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 - </w:t>
      </w:r>
      <w:r w:rsidR="00DD1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Учебная практика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  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учебной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работы судов»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1.3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29FA" w:rsidRDefault="00F529FA" w:rsidP="00751B2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1B2D" w:rsidRPr="0085010F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F529FA">
        <w:rPr>
          <w:rFonts w:ascii="Times New Roman" w:hAnsi="Times New Roman" w:cs="Times New Roman"/>
          <w:sz w:val="24"/>
          <w:szCs w:val="24"/>
        </w:rPr>
        <w:t xml:space="preserve"> </w:t>
      </w:r>
      <w:r w:rsidR="00F529FA" w:rsidRPr="0085010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Pr="0085010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751B2D" w:rsidRDefault="00DD118A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="00751B2D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="00751B2D"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751B2D" w:rsidRDefault="00751B2D" w:rsidP="00751B2D">
      <w:pPr>
        <w:pStyle w:val="af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751B2D" w:rsidRDefault="00DD118A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учебной</w:t>
      </w:r>
      <w:r w:rsidR="00751B2D">
        <w:rPr>
          <w:sz w:val="24"/>
          <w:szCs w:val="24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>
        <w:rPr>
          <w:sz w:val="24"/>
          <w:szCs w:val="24"/>
        </w:rPr>
        <w:t>, «Особенности организационно-технического обеспечения деятельности судей»</w:t>
      </w:r>
      <w:r w:rsidR="00751B2D"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751B2D" w:rsidRPr="00FE3D18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</w:t>
      </w:r>
      <w:r w:rsidR="002249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 работы судов» проводиться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B2D" w:rsidRDefault="00751B2D" w:rsidP="00751B2D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85010F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751B2D" w:rsidRDefault="00751B2D" w:rsidP="00751B2D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751B2D" w:rsidRDefault="00751B2D" w:rsidP="00751B2D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2"/>
            <w:rFonts w:ascii="Times New Roman" w:hAnsi="Times New Roman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</w:rPr>
      </w:pPr>
      <w:r>
        <w:rPr>
          <w:rStyle w:val="a6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компетенций. Рабочая программа практики может быть дополнена Приложениями с образцами оформления форм отчетности.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Формой отчет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ности по итогам 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отчет.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</w:t>
      </w:r>
      <w:r w:rsidR="00001614">
        <w:rPr>
          <w:rFonts w:ascii="Times New Roman" w:hAnsi="Times New Roman" w:cs="Times New Roman"/>
          <w:sz w:val="24"/>
          <w:szCs w:val="24"/>
        </w:rPr>
        <w:t>дента по итогам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751B2D" w:rsidRDefault="00751B2D" w:rsidP="00751B2D">
      <w:pPr>
        <w:pStyle w:val="ad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</w:t>
      </w:r>
      <w:r w:rsidR="00CB3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Индивидуальное задание.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751B2D" w:rsidTr="00751B2D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защиты выявлены системные знания, достаточные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751B2D" w:rsidRDefault="00751B2D" w:rsidP="00751B2D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51B2D" w:rsidRDefault="00751B2D" w:rsidP="00751B2D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sz w:val="24"/>
          <w:szCs w:val="24"/>
        </w:rPr>
      </w:pPr>
    </w:p>
    <w:p w:rsidR="00751B2D" w:rsidRDefault="00751B2D" w:rsidP="00751B2D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</w:t>
      </w:r>
      <w:r w:rsidR="00DD118A">
        <w:rPr>
          <w:rFonts w:ascii="Times New Roman" w:hAnsi="Times New Roman" w:cs="Times New Roman"/>
          <w:sz w:val="24"/>
          <w:szCs w:val="24"/>
        </w:rPr>
        <w:t>атуры для целей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D118A" w:rsidRDefault="00DD118A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751B2D" w:rsidTr="00751B2D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984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751B2D">
                <w:rPr>
                  <w:rStyle w:val="af2"/>
                  <w:rFonts w:ascii="Times New Roman" w:eastAsia="MS ??" w:hAnsi="Times New Roman"/>
                </w:rPr>
                <w:t>http://znanium.com</w:t>
              </w:r>
            </w:hyperlink>
            <w:r w:rsidR="00751B2D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984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751B2D">
                <w:rPr>
                  <w:rStyle w:val="af2"/>
                  <w:rFonts w:ascii="Times New Roman" w:eastAsia="MS ??" w:hAnsi="Times New Roman"/>
                </w:rPr>
                <w:t>www.biblio-online.ru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984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book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984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751B2D">
                <w:rPr>
                  <w:rStyle w:val="af2"/>
                  <w:rFonts w:ascii="Times New Roman" w:eastAsia="MS ??" w:hAnsi="Times New Roman"/>
                </w:rPr>
                <w:t>www.ebiblioteka.ru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984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751B2D">
                <w:rPr>
                  <w:rStyle w:val="af2"/>
                  <w:rFonts w:ascii="Times New Roman" w:eastAsia="MS ??" w:hAnsi="Times New Roman"/>
                </w:rPr>
                <w:t>http://rucont.ru/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51B2D" w:rsidTr="00751B2D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984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op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751B2D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r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51B2D" w:rsidTr="00751B2D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984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производстве».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27.07.2007 № 149-ФЗ «Об информации, информационных технологиях и о защите информации»;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кодекс РФ от 29.12.2004 № 190-ФЗ;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21.09.2006 № 583 «О федеральной целевой программе «Развитие судебной системы России 2007-2012 годы»;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от 20.11.2001 № 805 «О федеральной целевой программе «Развитие судебной системы России на 2002-2006 годы»;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от 27.12.2012  № 1406 «О федеральной целевой программе «Развитие судебной системы России на 2013 -  2024 годы».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 Правительства Российской Федерации 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цифрового развития, связи и массовых коммуникаций от 5 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22.11.2005 № 146 «О порядке представления информации о чрезвычайных происшествиях» (ред. 07.09.2012);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17.03.2014 № 52 «Об утверждении Положения об организации эксплуатации государственной автоматизированной системы Российской Федерации «Правосудие»;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15.05.2018 № 78  «О финансовом обеспечении переданных исполнительно-распорядительным органом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(ред. от 16.06.2023);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Федерации»; 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 (ред. от 13.12.2022);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судах»; 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16.09.2010 № 197 «Об утверждении Положения об организации и порядке </w:t>
      </w:r>
      <w:proofErr w:type="gramStart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 функционирования комплексов средств автоматизации Государственной автоматизированной системы Российской</w:t>
      </w:r>
      <w:proofErr w:type="gramEnd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«Правосудие» (ред. 17.03.2014);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03.06.2019 № 109 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юрисдикции и управлений Судебного департамента в субъектах Российской Федерации» (ред. от 05.08.2019);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29.05.2023 № 91</w:t>
      </w: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12.12.2018);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 «Об утверждении Положения о Контрольно-ревизионном управлении Судебного департамента при Верховном Суде Российской Федерации» (ред. от 12.07.2019);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 (ред. от 28.04.2014);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06.09.2017 № 164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 (ред. от 15.10.2018);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 (ред. от 18.03.2019);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03.04.2017 № 60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(ред. от 17.05.2019);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269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судов»» (ред. от 05.10.2018);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11.05.2023 № 81 «Об утверждении Положения о порядке и нормах обеспечения мантиями и служебным обмундированием судей федеральных судов общей юрисдикции и федеральных арбитражных судов, Положения о порядке и нормах обеспечения служебным обмундированием имеющих классные чины работников федеральных судов общей юрисдикции и федеральных арбитражных судов»;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23.12.2022 № 245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02.04.2021 № 67 «Об организации и осуществлении внутреннего финансового аудита Судебным департаментом при Верховном Суде Российской Федерации, а также подведомственными ему получателями средств федерального бюджета» (ред. от 30.12.2021);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06.06.2017 № 97 «Об утверждении Положения об осуществлении бюджетных полномочий главного администратора (администратора) доходов федерального бюджета Судебным департаментом при Верховном Суде Российской Федерации и его </w:t>
      </w: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бюджетополучателями – администраторами доходов федерального бюджета» (ред. от 03.09.2018);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 (ред. от 05.10.2018);</w:t>
      </w:r>
      <w:proofErr w:type="gramEnd"/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28.12.2015 № 401 «Об утверждении Регламента организации применения видео-конференц-связи при подготовке и проведении судебных заседаний» (ред. от 30.12.2020);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 (ред. от 28.09.2018);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  <w:proofErr w:type="gramEnd"/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 (ред. от 11.12.2020);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«Об утверждении нормативных затрат на обеспечение функций федеральных судов общей юрисдикции, федеральных арбитражных судов, органов судейского сообщества и управлений Судебного департамента в субъектах Российской Федерации» (ред. от 07.06.2023);</w:t>
      </w:r>
    </w:p>
    <w:p w:rsidR="000D24DF" w:rsidRPr="000D24DF" w:rsidRDefault="000D24DF" w:rsidP="000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Приказ Министерства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0D2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 (ред. от  07.12.2021).  </w:t>
      </w:r>
    </w:p>
    <w:p w:rsidR="00902C6B" w:rsidRPr="00902C6B" w:rsidRDefault="00902C6B" w:rsidP="0090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2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ссийской Федерации «Правосудие».</w:t>
      </w:r>
    </w:p>
    <w:p w:rsidR="007855F6" w:rsidRPr="00246724" w:rsidRDefault="005C7768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855F6"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7855F6" w:rsidRPr="00246724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ело. Термины и определения, утверждён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приказом Федерального агентства по техническому регулированию и метрологии 17 октября 2013 г. № 1185-ст.</w:t>
      </w:r>
    </w:p>
    <w:p w:rsidR="007855F6" w:rsidRPr="00246724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5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751B2D" w:rsidRPr="00811696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Куликова А.А. Правовой статус руководителя казенного предприятия // Администратор суда. 2016. № 1. С. 36-40.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751B2D" w:rsidRPr="00AF3D97" w:rsidRDefault="00227BE7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B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Орлов А.В. Организация и обеспечение безопасности судебной деятельности в новых эпидемиологических условиях // Администратор суда. – 2022. – № 2. – С. 2-5.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http://www.kremlin.ru/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http://www.ksrf.ru/ru/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http://www.vsrf.ru/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http://government.ru/</w:t>
        </w:r>
      </w:hyperlink>
    </w:p>
    <w:p w:rsidR="00751B2D" w:rsidRPr="008072C2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http://iprbookshop.ru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18A" w:rsidRDefault="00751B2D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BB4A59" w:rsidRDefault="00BB4A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53" w:rsidRPr="00B57B53" w:rsidRDefault="00A277B9" w:rsidP="00B57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  <w:r w:rsidR="00B57B53" w:rsidRPr="00B57B53">
        <w:rPr>
          <w:rFonts w:ascii="Times New Roman" w:eastAsia="Times New Roman" w:hAnsi="Times New Roman" w:cs="Times New Roman"/>
          <w:b/>
        </w:rPr>
        <w:t xml:space="preserve"> 1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57B5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B57B53" w:rsidRPr="00B57B53" w:rsidRDefault="00B57B53" w:rsidP="00B57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57B53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B57B53" w:rsidRPr="00B57B53" w:rsidRDefault="00B57B53" w:rsidP="00B57B53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B57B53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B57B53" w:rsidRPr="00B57B53" w:rsidRDefault="00B57B53" w:rsidP="00B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57B53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B5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7B53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B57B53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B57B53" w:rsidRPr="00B57B53" w:rsidTr="007706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B57B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57B53" w:rsidRPr="00B57B53" w:rsidTr="007706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B57B53" w:rsidRPr="00B57B53" w:rsidTr="007706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7B53" w:rsidRPr="00B57B53" w:rsidTr="007706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57B53" w:rsidRPr="00B57B53" w:rsidRDefault="00B57B53" w:rsidP="00B57B53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B53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B57B53" w:rsidRPr="00B57B53" w:rsidTr="007706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B57B53" w:rsidRPr="00B57B53" w:rsidTr="007706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B57B53" w:rsidRPr="00B57B53" w:rsidTr="007706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B57B53" w:rsidRPr="00B57B53" w:rsidTr="007706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B57B53" w:rsidRPr="00B57B53" w:rsidRDefault="00B57B53" w:rsidP="00B57B5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B57B53" w:rsidRPr="00B57B53" w:rsidRDefault="00B57B53" w:rsidP="00B57B5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B57B53" w:rsidRPr="00B57B53" w:rsidRDefault="00B57B53" w:rsidP="00B57B53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B57B53">
        <w:rPr>
          <w:rFonts w:ascii="Times New Roman" w:eastAsia="Calibri" w:hAnsi="Times New Roman" w:cs="Times New Roman"/>
        </w:rPr>
        <w:t>обучающегося</w:t>
      </w:r>
      <w:proofErr w:type="gramEnd"/>
      <w:r w:rsidRPr="00B57B53">
        <w:rPr>
          <w:rFonts w:ascii="Times New Roman" w:eastAsia="Calibri" w:hAnsi="Times New Roman" w:cs="Times New Roman"/>
        </w:rPr>
        <w:t>)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B57B53" w:rsidRPr="00B57B53" w:rsidRDefault="00B57B53" w:rsidP="00B57B5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B57B53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7B53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7B53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277B9" w:rsidRPr="00A277B9" w:rsidRDefault="00A277B9" w:rsidP="00A277B9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277B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A277B9" w:rsidRPr="00A277B9" w:rsidRDefault="00A277B9" w:rsidP="00A2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77B9" w:rsidRPr="00A277B9" w:rsidRDefault="00A277B9" w:rsidP="00A277B9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A277B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A277B9" w:rsidRPr="00A277B9" w:rsidRDefault="00A277B9" w:rsidP="00A277B9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A277B9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A277B9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A277B9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13813" w:rsidRDefault="00C13813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3813" w:rsidSect="00C76AC8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4" w:rsidRDefault="00951984" w:rsidP="0061447B">
      <w:pPr>
        <w:spacing w:after="0" w:line="240" w:lineRule="auto"/>
      </w:pPr>
      <w:r>
        <w:separator/>
      </w:r>
    </w:p>
  </w:endnote>
  <w:endnote w:type="continuationSeparator" w:id="0">
    <w:p w:rsidR="00951984" w:rsidRDefault="00951984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4" w:rsidRDefault="00951984" w:rsidP="0061447B">
      <w:pPr>
        <w:spacing w:after="0" w:line="240" w:lineRule="auto"/>
      </w:pPr>
      <w:r>
        <w:separator/>
      </w:r>
    </w:p>
  </w:footnote>
  <w:footnote w:type="continuationSeparator" w:id="0">
    <w:p w:rsidR="00951984" w:rsidRDefault="00951984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7706EC" w:rsidRDefault="007706E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06EC" w:rsidRDefault="007706E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EC" w:rsidRDefault="007706EC">
    <w:pPr>
      <w:pStyle w:val="af3"/>
      <w:jc w:val="center"/>
    </w:pPr>
  </w:p>
  <w:p w:rsidR="007706EC" w:rsidRDefault="007706E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1614"/>
    <w:rsid w:val="00006641"/>
    <w:rsid w:val="00007E9A"/>
    <w:rsid w:val="00017C5E"/>
    <w:rsid w:val="000272E3"/>
    <w:rsid w:val="000321C9"/>
    <w:rsid w:val="00034F48"/>
    <w:rsid w:val="00036A4E"/>
    <w:rsid w:val="0004579A"/>
    <w:rsid w:val="00047395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3FF"/>
    <w:rsid w:val="000B2FEB"/>
    <w:rsid w:val="000B47AB"/>
    <w:rsid w:val="000B5C9F"/>
    <w:rsid w:val="000C4F42"/>
    <w:rsid w:val="000C516C"/>
    <w:rsid w:val="000C5180"/>
    <w:rsid w:val="000C540C"/>
    <w:rsid w:val="000D24DF"/>
    <w:rsid w:val="000E3BC0"/>
    <w:rsid w:val="000F0399"/>
    <w:rsid w:val="000F6601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63786"/>
    <w:rsid w:val="00180FD9"/>
    <w:rsid w:val="00183C80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160BA"/>
    <w:rsid w:val="00224981"/>
    <w:rsid w:val="002259A7"/>
    <w:rsid w:val="00227BE7"/>
    <w:rsid w:val="00236BFC"/>
    <w:rsid w:val="00242357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B703F"/>
    <w:rsid w:val="002C0252"/>
    <w:rsid w:val="002C355C"/>
    <w:rsid w:val="002C46C7"/>
    <w:rsid w:val="002C727B"/>
    <w:rsid w:val="002D5858"/>
    <w:rsid w:val="002E0CB2"/>
    <w:rsid w:val="002E31F4"/>
    <w:rsid w:val="002E5FEF"/>
    <w:rsid w:val="002F73B2"/>
    <w:rsid w:val="00301EDC"/>
    <w:rsid w:val="003061C6"/>
    <w:rsid w:val="0030697F"/>
    <w:rsid w:val="00313A93"/>
    <w:rsid w:val="00314647"/>
    <w:rsid w:val="0031566A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7612"/>
    <w:rsid w:val="00380276"/>
    <w:rsid w:val="003874D3"/>
    <w:rsid w:val="003912C4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09FC"/>
    <w:rsid w:val="0043230E"/>
    <w:rsid w:val="00432697"/>
    <w:rsid w:val="0044089B"/>
    <w:rsid w:val="00453445"/>
    <w:rsid w:val="00454099"/>
    <w:rsid w:val="00460F7C"/>
    <w:rsid w:val="00466DAF"/>
    <w:rsid w:val="00467480"/>
    <w:rsid w:val="00467F28"/>
    <w:rsid w:val="00471AF2"/>
    <w:rsid w:val="00473910"/>
    <w:rsid w:val="00474C10"/>
    <w:rsid w:val="00477537"/>
    <w:rsid w:val="0048241C"/>
    <w:rsid w:val="00495D47"/>
    <w:rsid w:val="0049704F"/>
    <w:rsid w:val="004A07FB"/>
    <w:rsid w:val="004A1D63"/>
    <w:rsid w:val="004A24D7"/>
    <w:rsid w:val="004A6308"/>
    <w:rsid w:val="004B483D"/>
    <w:rsid w:val="004C33DD"/>
    <w:rsid w:val="004D5F35"/>
    <w:rsid w:val="004E039A"/>
    <w:rsid w:val="004E0B35"/>
    <w:rsid w:val="004E3FE6"/>
    <w:rsid w:val="004F0574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70EBA"/>
    <w:rsid w:val="005814B7"/>
    <w:rsid w:val="00585A05"/>
    <w:rsid w:val="00587995"/>
    <w:rsid w:val="00590203"/>
    <w:rsid w:val="00593B9C"/>
    <w:rsid w:val="00595A06"/>
    <w:rsid w:val="00596C91"/>
    <w:rsid w:val="005B33D8"/>
    <w:rsid w:val="005B7A29"/>
    <w:rsid w:val="005C1D73"/>
    <w:rsid w:val="005C7768"/>
    <w:rsid w:val="005D2158"/>
    <w:rsid w:val="005D7115"/>
    <w:rsid w:val="005E0D78"/>
    <w:rsid w:val="005E1500"/>
    <w:rsid w:val="005E1B6E"/>
    <w:rsid w:val="005F078E"/>
    <w:rsid w:val="005F104A"/>
    <w:rsid w:val="005F4D89"/>
    <w:rsid w:val="005F5C84"/>
    <w:rsid w:val="005F7E0C"/>
    <w:rsid w:val="006040E7"/>
    <w:rsid w:val="0060621A"/>
    <w:rsid w:val="00606ED8"/>
    <w:rsid w:val="0061447B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57A98"/>
    <w:rsid w:val="006623A9"/>
    <w:rsid w:val="006804F0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3EF0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51B2D"/>
    <w:rsid w:val="0076019A"/>
    <w:rsid w:val="007706EC"/>
    <w:rsid w:val="00770C74"/>
    <w:rsid w:val="007729DF"/>
    <w:rsid w:val="00773367"/>
    <w:rsid w:val="0078397A"/>
    <w:rsid w:val="0078484C"/>
    <w:rsid w:val="007855F6"/>
    <w:rsid w:val="00793F21"/>
    <w:rsid w:val="007A4CF4"/>
    <w:rsid w:val="007A6783"/>
    <w:rsid w:val="007A7B42"/>
    <w:rsid w:val="007B2056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363E9"/>
    <w:rsid w:val="008418DE"/>
    <w:rsid w:val="0085010F"/>
    <w:rsid w:val="0085052F"/>
    <w:rsid w:val="008522CB"/>
    <w:rsid w:val="00872ED8"/>
    <w:rsid w:val="00875F6D"/>
    <w:rsid w:val="0087684C"/>
    <w:rsid w:val="008A28C3"/>
    <w:rsid w:val="008B046A"/>
    <w:rsid w:val="008B07C3"/>
    <w:rsid w:val="008B22FE"/>
    <w:rsid w:val="008B4AD7"/>
    <w:rsid w:val="008C4EC2"/>
    <w:rsid w:val="008E06E6"/>
    <w:rsid w:val="00902C6B"/>
    <w:rsid w:val="009047F3"/>
    <w:rsid w:val="009135D3"/>
    <w:rsid w:val="009141A1"/>
    <w:rsid w:val="009146FA"/>
    <w:rsid w:val="00915F98"/>
    <w:rsid w:val="009253B0"/>
    <w:rsid w:val="00927511"/>
    <w:rsid w:val="0093399C"/>
    <w:rsid w:val="00951984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8A4"/>
    <w:rsid w:val="009A0B80"/>
    <w:rsid w:val="009A2036"/>
    <w:rsid w:val="009A5A7D"/>
    <w:rsid w:val="009B3DD4"/>
    <w:rsid w:val="009B59AB"/>
    <w:rsid w:val="009C4C9D"/>
    <w:rsid w:val="009D406D"/>
    <w:rsid w:val="009D74E1"/>
    <w:rsid w:val="009E528B"/>
    <w:rsid w:val="009E6014"/>
    <w:rsid w:val="009F2FF7"/>
    <w:rsid w:val="009F5AC2"/>
    <w:rsid w:val="00A16D55"/>
    <w:rsid w:val="00A27615"/>
    <w:rsid w:val="00A277B9"/>
    <w:rsid w:val="00A34631"/>
    <w:rsid w:val="00A4003A"/>
    <w:rsid w:val="00A5470F"/>
    <w:rsid w:val="00A63557"/>
    <w:rsid w:val="00A67878"/>
    <w:rsid w:val="00A76F1D"/>
    <w:rsid w:val="00A86B1D"/>
    <w:rsid w:val="00A87EB6"/>
    <w:rsid w:val="00A9497A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5457D"/>
    <w:rsid w:val="00B55DD5"/>
    <w:rsid w:val="00B56E14"/>
    <w:rsid w:val="00B57B53"/>
    <w:rsid w:val="00B821A4"/>
    <w:rsid w:val="00B844B7"/>
    <w:rsid w:val="00B95219"/>
    <w:rsid w:val="00B95898"/>
    <w:rsid w:val="00BA250A"/>
    <w:rsid w:val="00BA73D2"/>
    <w:rsid w:val="00BB4A59"/>
    <w:rsid w:val="00BB7CEE"/>
    <w:rsid w:val="00BD04C3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37128"/>
    <w:rsid w:val="00C54811"/>
    <w:rsid w:val="00C64116"/>
    <w:rsid w:val="00C65107"/>
    <w:rsid w:val="00C76AC8"/>
    <w:rsid w:val="00C8569C"/>
    <w:rsid w:val="00C8651A"/>
    <w:rsid w:val="00C87770"/>
    <w:rsid w:val="00C901F1"/>
    <w:rsid w:val="00C93415"/>
    <w:rsid w:val="00C948E7"/>
    <w:rsid w:val="00C97018"/>
    <w:rsid w:val="00C970C6"/>
    <w:rsid w:val="00CA6998"/>
    <w:rsid w:val="00CB38D0"/>
    <w:rsid w:val="00CB5D49"/>
    <w:rsid w:val="00CB6DC4"/>
    <w:rsid w:val="00CD30E5"/>
    <w:rsid w:val="00CE4164"/>
    <w:rsid w:val="00CE49C8"/>
    <w:rsid w:val="00CE4F8D"/>
    <w:rsid w:val="00CE5037"/>
    <w:rsid w:val="00D04529"/>
    <w:rsid w:val="00D04F1A"/>
    <w:rsid w:val="00D0533B"/>
    <w:rsid w:val="00D073B0"/>
    <w:rsid w:val="00D109E5"/>
    <w:rsid w:val="00D14EFC"/>
    <w:rsid w:val="00D1556B"/>
    <w:rsid w:val="00D17C67"/>
    <w:rsid w:val="00D2307B"/>
    <w:rsid w:val="00D271CB"/>
    <w:rsid w:val="00D3057B"/>
    <w:rsid w:val="00D46424"/>
    <w:rsid w:val="00D600E3"/>
    <w:rsid w:val="00D605BC"/>
    <w:rsid w:val="00D6282A"/>
    <w:rsid w:val="00D70ED6"/>
    <w:rsid w:val="00D74978"/>
    <w:rsid w:val="00D80E6F"/>
    <w:rsid w:val="00D829E2"/>
    <w:rsid w:val="00D85BC8"/>
    <w:rsid w:val="00D87526"/>
    <w:rsid w:val="00D8796D"/>
    <w:rsid w:val="00D945F5"/>
    <w:rsid w:val="00DA1003"/>
    <w:rsid w:val="00DA68A9"/>
    <w:rsid w:val="00DA7964"/>
    <w:rsid w:val="00DB1F1D"/>
    <w:rsid w:val="00DB5280"/>
    <w:rsid w:val="00DC4E30"/>
    <w:rsid w:val="00DD118A"/>
    <w:rsid w:val="00DD217B"/>
    <w:rsid w:val="00DD287A"/>
    <w:rsid w:val="00DD3C19"/>
    <w:rsid w:val="00DE2769"/>
    <w:rsid w:val="00DE3766"/>
    <w:rsid w:val="00DF49B8"/>
    <w:rsid w:val="00E063EC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51FF"/>
    <w:rsid w:val="00E97F69"/>
    <w:rsid w:val="00EA1749"/>
    <w:rsid w:val="00EA1997"/>
    <w:rsid w:val="00EA3FFB"/>
    <w:rsid w:val="00EB285B"/>
    <w:rsid w:val="00EC4B01"/>
    <w:rsid w:val="00EC580E"/>
    <w:rsid w:val="00EC726A"/>
    <w:rsid w:val="00EF7281"/>
    <w:rsid w:val="00F050A1"/>
    <w:rsid w:val="00F070E4"/>
    <w:rsid w:val="00F13647"/>
    <w:rsid w:val="00F155C8"/>
    <w:rsid w:val="00F1749B"/>
    <w:rsid w:val="00F24EE0"/>
    <w:rsid w:val="00F3728D"/>
    <w:rsid w:val="00F478E1"/>
    <w:rsid w:val="00F51B6A"/>
    <w:rsid w:val="00F529FA"/>
    <w:rsid w:val="00F632E5"/>
    <w:rsid w:val="00F67BFE"/>
    <w:rsid w:val="00F76473"/>
    <w:rsid w:val="00F90F76"/>
    <w:rsid w:val="00FA2912"/>
    <w:rsid w:val="00FA3AE9"/>
    <w:rsid w:val="00FB3DB3"/>
    <w:rsid w:val="00FB78AF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7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751B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3B10-06B0-4D97-8BF3-81C031E5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24</Pages>
  <Words>8809</Words>
  <Characters>50212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87</cp:revision>
  <cp:lastPrinted>2018-10-26T07:38:00Z</cp:lastPrinted>
  <dcterms:created xsi:type="dcterms:W3CDTF">2021-05-17T09:57:00Z</dcterms:created>
  <dcterms:modified xsi:type="dcterms:W3CDTF">2023-09-14T19:05:00Z</dcterms:modified>
</cp:coreProperties>
</file>