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A8" w:rsidRPr="00D91BA8" w:rsidRDefault="00D91BA8" w:rsidP="00D91BA8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212529"/>
          <w:sz w:val="18"/>
          <w:szCs w:val="18"/>
          <w:lang w:eastAsia="ru-RU"/>
        </w:rPr>
      </w:pPr>
      <w:r w:rsidRPr="00D91BA8">
        <w:rPr>
          <w:rFonts w:ascii="Montserrat" w:eastAsia="Times New Roman" w:hAnsi="Montserrat" w:cs="Times New Roman"/>
          <w:b/>
          <w:bCs/>
          <w:color w:val="212529"/>
          <w:sz w:val="18"/>
          <w:szCs w:val="18"/>
          <w:bdr w:val="none" w:sz="0" w:space="0" w:color="auto" w:frame="1"/>
          <w:lang w:eastAsia="ru-RU"/>
        </w:rPr>
        <w:t>План  научных мероприятий</w:t>
      </w:r>
    </w:p>
    <w:p w:rsidR="00D91BA8" w:rsidRPr="00D91BA8" w:rsidRDefault="00D91BA8" w:rsidP="00D91BA8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212529"/>
          <w:sz w:val="18"/>
          <w:szCs w:val="18"/>
          <w:lang w:eastAsia="ru-RU"/>
        </w:rPr>
      </w:pPr>
      <w:r w:rsidRPr="00D91BA8">
        <w:rPr>
          <w:rFonts w:ascii="Montserrat" w:eastAsia="Times New Roman" w:hAnsi="Montserrat" w:cs="Times New Roman"/>
          <w:b/>
          <w:bCs/>
          <w:color w:val="212529"/>
          <w:sz w:val="18"/>
          <w:szCs w:val="18"/>
          <w:bdr w:val="none" w:sz="0" w:space="0" w:color="auto" w:frame="1"/>
          <w:lang w:eastAsia="ru-RU"/>
        </w:rPr>
        <w:t>Северо-Западного филиала ФГБОУВО</w:t>
      </w:r>
    </w:p>
    <w:p w:rsidR="00D91BA8" w:rsidRPr="00D91BA8" w:rsidRDefault="00D91BA8" w:rsidP="00D91BA8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212529"/>
          <w:sz w:val="18"/>
          <w:szCs w:val="18"/>
          <w:lang w:eastAsia="ru-RU"/>
        </w:rPr>
      </w:pPr>
      <w:r w:rsidRPr="00D91BA8">
        <w:rPr>
          <w:rFonts w:ascii="Montserrat" w:eastAsia="Times New Roman" w:hAnsi="Montserrat" w:cs="Times New Roman"/>
          <w:b/>
          <w:bCs/>
          <w:color w:val="212529"/>
          <w:sz w:val="18"/>
          <w:szCs w:val="18"/>
          <w:bdr w:val="none" w:sz="0" w:space="0" w:color="auto" w:frame="1"/>
          <w:lang w:eastAsia="ru-RU"/>
        </w:rPr>
        <w:t>«Российский государственный университет правосудия»</w:t>
      </w:r>
    </w:p>
    <w:p w:rsidR="00D91BA8" w:rsidRPr="00D91BA8" w:rsidRDefault="00D91BA8" w:rsidP="00D91BA8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212529"/>
          <w:sz w:val="18"/>
          <w:szCs w:val="18"/>
          <w:lang w:eastAsia="ru-RU"/>
        </w:rPr>
      </w:pPr>
      <w:r w:rsidRPr="00D91BA8">
        <w:rPr>
          <w:rFonts w:ascii="Montserrat" w:eastAsia="Times New Roman" w:hAnsi="Montserrat" w:cs="Times New Roman"/>
          <w:b/>
          <w:bCs/>
          <w:color w:val="212529"/>
          <w:sz w:val="18"/>
          <w:szCs w:val="18"/>
          <w:bdr w:val="none" w:sz="0" w:space="0" w:color="auto" w:frame="1"/>
          <w:lang w:eastAsia="ru-RU"/>
        </w:rPr>
        <w:t>на 2022 год</w:t>
      </w:r>
    </w:p>
    <w:p w:rsidR="00D91BA8" w:rsidRPr="00D91BA8" w:rsidRDefault="00D91BA8" w:rsidP="00D91BA8">
      <w:pPr>
        <w:shd w:val="clear" w:color="auto" w:fill="FFFFFF"/>
        <w:spacing w:after="255" w:line="240" w:lineRule="auto"/>
        <w:jc w:val="center"/>
        <w:textAlignment w:val="baseline"/>
        <w:rPr>
          <w:rFonts w:ascii="Montserrat" w:eastAsia="Times New Roman" w:hAnsi="Montserrat" w:cs="Times New Roman"/>
          <w:color w:val="212529"/>
          <w:sz w:val="18"/>
          <w:szCs w:val="18"/>
          <w:lang w:eastAsia="ru-RU"/>
        </w:rPr>
      </w:pPr>
      <w:r w:rsidRPr="00D91BA8">
        <w:rPr>
          <w:rFonts w:ascii="Montserrat" w:eastAsia="Times New Roman" w:hAnsi="Montserrat" w:cs="Times New Roman"/>
          <w:color w:val="212529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318"/>
        <w:gridCol w:w="1987"/>
        <w:gridCol w:w="2060"/>
      </w:tblGrid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b/>
                <w:bCs/>
                <w:color w:val="212529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D91BA8">
              <w:rPr>
                <w:rFonts w:ascii="Montserrat" w:eastAsia="Times New Roman" w:hAnsi="Montserrat" w:cs="Times New Roman"/>
                <w:b/>
                <w:bCs/>
                <w:color w:val="212529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D91BA8">
              <w:rPr>
                <w:rFonts w:ascii="Montserrat" w:eastAsia="Times New Roman" w:hAnsi="Montserrat" w:cs="Times New Roman"/>
                <w:b/>
                <w:bCs/>
                <w:color w:val="212529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D91BA8">
              <w:rPr>
                <w:rFonts w:ascii="Montserrat" w:eastAsia="Times New Roman" w:hAnsi="Montserrat" w:cs="Times New Roman"/>
                <w:b/>
                <w:bCs/>
                <w:color w:val="212529"/>
                <w:sz w:val="18"/>
                <w:szCs w:val="18"/>
                <w:bdr w:val="none" w:sz="0" w:space="0" w:color="auto" w:frame="1"/>
                <w:lang w:eastAsia="ru-RU"/>
              </w:rPr>
              <w:t>Наименование мероприятия</w:t>
            </w:r>
            <w:r w:rsidRPr="00D91BA8">
              <w:rPr>
                <w:rFonts w:ascii="Montserrat" w:eastAsia="Times New Roman" w:hAnsi="Montserrat" w:cs="Times New Roman"/>
                <w:b/>
                <w:bCs/>
                <w:color w:val="212529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с указанием статуса (международное, всероссийское, региональное, </w:t>
            </w:r>
            <w:proofErr w:type="spellStart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внутривузовское</w:t>
            </w:r>
            <w:proofErr w:type="spellEnd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 и др.) и формы (научно-практическая </w:t>
            </w:r>
            <w:proofErr w:type="spellStart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конфренция</w:t>
            </w:r>
            <w:proofErr w:type="spellEnd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, семинар, «круглый стол» и др.) мероприятия, в том числе с указанием «студенческое»</w:t>
            </w:r>
            <w:proofErr w:type="gramEnd"/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b/>
                <w:bCs/>
                <w:color w:val="212529"/>
                <w:sz w:val="18"/>
                <w:szCs w:val="18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D91BA8">
              <w:rPr>
                <w:rFonts w:ascii="Montserrat" w:eastAsia="Times New Roman" w:hAnsi="Montserrat" w:cs="Times New Roman"/>
                <w:b/>
                <w:bCs/>
                <w:color w:val="212529"/>
                <w:sz w:val="18"/>
                <w:szCs w:val="18"/>
                <w:bdr w:val="none" w:sz="0" w:space="0" w:color="auto" w:frame="1"/>
                <w:lang w:eastAsia="ru-RU"/>
              </w:rPr>
              <w:t>Ответственные</w:t>
            </w:r>
            <w:proofErr w:type="gramEnd"/>
            <w:r w:rsidRPr="00D91BA8">
              <w:rPr>
                <w:rFonts w:ascii="Montserrat" w:eastAsia="Times New Roman" w:hAnsi="Montserrat" w:cs="Times New Roman"/>
                <w:b/>
                <w:bCs/>
                <w:color w:val="212529"/>
                <w:sz w:val="18"/>
                <w:szCs w:val="18"/>
                <w:bdr w:val="none" w:sz="0" w:space="0" w:color="auto" w:frame="1"/>
                <w:lang w:eastAsia="ru-RU"/>
              </w:rPr>
              <w:br/>
              <w:t>за проведение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b/>
                <w:bCs/>
                <w:color w:val="212529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b/>
                <w:bCs/>
                <w:color w:val="212529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b/>
                <w:bCs/>
                <w:color w:val="212529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b/>
                <w:bCs/>
                <w:color w:val="212529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1.                   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Всероссийский круглый стол «Роль прокуратуры в развитии государственно-правовой системы России: дореволюционный, советский, современный периоды»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14 января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Дорская</w:t>
            </w:r>
            <w:proofErr w:type="spellEnd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 А.А.,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Журавлев В.А.,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Потапов Ю.А.,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Алексеева Н.И.,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Ботанцов</w:t>
            </w:r>
            <w:proofErr w:type="spellEnd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2.                   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Семинар-тренинг для студентов «Роль социального эмоционального интеллекта в жизни и профессиональной деятельности»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17 января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Тарасова Ю.Н.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3.                   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Всероссийский круглый стол «Актуальные проблемы воспитания и образования: взгляд современного обучающегося»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17 февраля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Матвиенко С.В.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4.                   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Научно-практический семинар «Пресс-секретарь суда: цели, задачи, компетенции»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17 февраля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Тарасова Ю.Н., Потапов Ю.А., Лебедева Д.А.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5.                   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Межвузовский студенческий научно-практический круглый стол «Преступность несовершеннолетних: уголовно-правовые и криминологические аспекты»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25 февраля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Топильская</w:t>
            </w:r>
            <w:proofErr w:type="spellEnd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 Е.В.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Краснова К. А.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6.                   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Всероссийский конкурс научных докладов студентов «Решения Конституционного Суда Российской Федерации в современной правовой системе»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Февраль-апрель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Терентьев Р.В.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7.                   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IX Международная научно-практическая конференция «Уголовная политика и правоприменительная практика»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11 марта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Рахманова Е. Н.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8.                   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Ежегодная всероссийская научно-практическая конференция студентов, магистрантов и соискателей «Право и правосудие в современном мире»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Март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Бондарев В.Г.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Дорская</w:t>
            </w:r>
            <w:proofErr w:type="spellEnd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 А.А.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Терентьев Р.В.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Рахманова Е.Н.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Калиновский К.Б.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Сварчевский</w:t>
            </w:r>
            <w:proofErr w:type="spellEnd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 К.Г.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Войтович Л.В.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Матвиенко С.В.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9.                   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Всероссийский студенческий научный семинар «Научная статья как индивидуальная форма самостоятельной научно-исследовательской деятельности </w:t>
            </w:r>
            <w:proofErr w:type="gramStart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14 апреля 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Матвиенко С.В.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10.               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Олимпиада по уголовному праву для студентов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20 апреля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Рахманова Е. Н.,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Цветков П. В.,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Филатова Н. Ю.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11.               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Всероссийский студенческий круглый стол «Правовые позиции Конституционного Суда Российской Федерации в правовой системе Российской Федерации»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Апрель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Терентьев Р.В.,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Воронцова М.А.,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Игнатьева Е.Ю.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12.               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Международная научно-практическая конференция «Роль и значение правовых позиций высших судов Российской Федерации по делам, вытекающим из публично-правовых отношений в современной </w:t>
            </w: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lastRenderedPageBreak/>
              <w:t>правоприменительной практике»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lastRenderedPageBreak/>
              <w:t>Апрель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Терентьев Р.В.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lastRenderedPageBreak/>
              <w:t>13.               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Роль судебной власти в сфере защиты прав и свобод человека (к 100-летию Верховного Суда Российской Федерации)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13 мая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Дорская</w:t>
            </w:r>
            <w:proofErr w:type="spellEnd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 А.А.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14.               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Международная научно-практическая конференция «Особое производство в </w:t>
            </w:r>
            <w:proofErr w:type="spellStart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цивилистическом</w:t>
            </w:r>
            <w:proofErr w:type="spellEnd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 процессе: проблемы доктрины, законодательства и практики»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Июнь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Войтович Л.В.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15.               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Международная научно-практическая конференция «Развитие права в условиях междисциплинарного взаимодействия»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23 сентября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Дорская</w:t>
            </w:r>
            <w:proofErr w:type="spellEnd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 А.А.,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Харитонов Л.А.,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Рымкевич</w:t>
            </w:r>
            <w:proofErr w:type="spellEnd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 Я.А.,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Журавлев В.А.,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Косовская В.А.,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Алешина А.В.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16.               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Всероссийский круглый стол «Профессиональная подготовка специалистов для судебной системы в контексте междисциплинарных исследований»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Октябрь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Бондарев В.Г.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17.               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Всероссийская научно-практическая конференция «Регулирование уголовно-процессуальных правоотношений: 20-летний опыт применения Уголовно-процессуального кодекса Российской Федерации»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Октябрь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Калиновский К.Б.,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Зашляпин</w:t>
            </w:r>
            <w:proofErr w:type="spellEnd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 Л.А.,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Конин В.В.,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Шиплюк</w:t>
            </w:r>
            <w:proofErr w:type="spellEnd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 В.А.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18.               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Всероссийский научный семинар «Профессиональная этика в образовательной деятельности педагога»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16 ноября 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Матвиенко С.В.</w:t>
            </w:r>
          </w:p>
        </w:tc>
      </w:tr>
      <w:tr w:rsidR="00D91BA8" w:rsidRPr="00D91BA8" w:rsidTr="00D91BA8">
        <w:tc>
          <w:tcPr>
            <w:tcW w:w="57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19.               </w:t>
            </w:r>
          </w:p>
        </w:tc>
        <w:tc>
          <w:tcPr>
            <w:tcW w:w="510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Международная научно-практическая конференция «Тенденции частноправового и публично-правового взаимодействия»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18–19 ноября</w:t>
            </w: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br/>
              <w:t>2022 г.</w:t>
            </w:r>
          </w:p>
        </w:tc>
        <w:tc>
          <w:tcPr>
            <w:tcW w:w="226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Сварчевский</w:t>
            </w:r>
            <w:proofErr w:type="spellEnd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 К.Г.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Болдырев В.А.,</w:t>
            </w:r>
          </w:p>
          <w:p w:rsidR="00D91BA8" w:rsidRPr="00D91BA8" w:rsidRDefault="00D91BA8" w:rsidP="00D91BA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>Клепалова</w:t>
            </w:r>
            <w:proofErr w:type="spellEnd"/>
            <w:r w:rsidRPr="00D91BA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  <w:t xml:space="preserve"> Ю.И., Максимов В.А.</w:t>
            </w:r>
          </w:p>
        </w:tc>
      </w:tr>
    </w:tbl>
    <w:p w:rsidR="00DC2765" w:rsidRDefault="00D91BA8">
      <w:bookmarkStart w:id="0" w:name="_GoBack"/>
      <w:bookmarkEnd w:id="0"/>
    </w:p>
    <w:sectPr w:rsidR="00DC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DA"/>
    <w:rsid w:val="00257344"/>
    <w:rsid w:val="009E3C4B"/>
    <w:rsid w:val="00D91BA8"/>
    <w:rsid w:val="00F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А.В.</dc:creator>
  <cp:keywords/>
  <dc:description/>
  <cp:lastModifiedBy>Исаков А.В.</cp:lastModifiedBy>
  <cp:revision>2</cp:revision>
  <dcterms:created xsi:type="dcterms:W3CDTF">2023-02-10T12:16:00Z</dcterms:created>
  <dcterms:modified xsi:type="dcterms:W3CDTF">2023-02-10T12:16:00Z</dcterms:modified>
</cp:coreProperties>
</file>