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E7" w:rsidRPr="00D84AE6" w:rsidRDefault="00976BE7" w:rsidP="00976BE7">
      <w:pPr>
        <w:widowControl w:val="0"/>
        <w:autoSpaceDE w:val="0"/>
        <w:autoSpaceDN w:val="0"/>
        <w:jc w:val="center"/>
        <w:rPr>
          <w:rFonts w:eastAsia="Times New Roman" w:cs="Times New Roman"/>
          <w:b/>
          <w:lang w:eastAsia="en-US"/>
        </w:rPr>
      </w:pPr>
      <w:r w:rsidRPr="00D84AE6">
        <w:rPr>
          <w:rFonts w:eastAsia="Times New Roman" w:cs="Times New Roman"/>
          <w:b/>
          <w:lang w:eastAsia="en-US"/>
        </w:rPr>
        <w:t>Аннотация рабочей программы дисциплины</w:t>
      </w:r>
    </w:p>
    <w:p w:rsidR="00976BE7" w:rsidRPr="00D84AE6" w:rsidRDefault="00976BE7" w:rsidP="00976BE7">
      <w:pPr>
        <w:widowControl w:val="0"/>
        <w:autoSpaceDE w:val="0"/>
        <w:autoSpaceDN w:val="0"/>
        <w:jc w:val="center"/>
        <w:rPr>
          <w:rFonts w:eastAsia="Times New Roman" w:cs="Times New Roman"/>
          <w:b/>
          <w:lang w:eastAsia="en-US"/>
        </w:rPr>
      </w:pPr>
      <w:bookmarkStart w:id="0" w:name="_GoBack"/>
      <w:r w:rsidRPr="00D84AE6">
        <w:rPr>
          <w:rFonts w:eastAsia="Times New Roman" w:cs="Times New Roman"/>
          <w:b/>
          <w:lang w:eastAsia="en-US"/>
        </w:rPr>
        <w:t>«Проблемы квалификации преступлений против здоровья населения и общественной нравственности»</w:t>
      </w:r>
      <w:bookmarkEnd w:id="0"/>
    </w:p>
    <w:p w:rsidR="00976BE7" w:rsidRDefault="00976BE7" w:rsidP="00976BE7">
      <w:pPr>
        <w:widowControl w:val="0"/>
        <w:autoSpaceDE w:val="0"/>
        <w:autoSpaceDN w:val="0"/>
        <w:jc w:val="center"/>
        <w:rPr>
          <w:rFonts w:eastAsia="Times New Roman" w:cs="Times New Roman"/>
          <w:lang w:eastAsia="en-US"/>
        </w:rPr>
      </w:pPr>
      <w:r w:rsidRPr="00D84AE6">
        <w:rPr>
          <w:rFonts w:eastAsia="Times New Roman" w:cs="Times New Roman"/>
          <w:lang w:eastAsia="en-US"/>
        </w:rPr>
        <w:t xml:space="preserve">Разработчики: </w:t>
      </w:r>
      <w:proofErr w:type="spellStart"/>
      <w:r w:rsidRPr="00D84AE6">
        <w:rPr>
          <w:rFonts w:eastAsia="Times New Roman" w:cs="Times New Roman"/>
          <w:lang w:eastAsia="en-US"/>
        </w:rPr>
        <w:t>Федик</w:t>
      </w:r>
      <w:proofErr w:type="spellEnd"/>
      <w:r w:rsidRPr="00D84AE6">
        <w:rPr>
          <w:rFonts w:eastAsia="Times New Roman" w:cs="Times New Roman"/>
          <w:lang w:eastAsia="en-US"/>
        </w:rPr>
        <w:t xml:space="preserve"> Е.Н., </w:t>
      </w:r>
      <w:proofErr w:type="spellStart"/>
      <w:r w:rsidRPr="00D84AE6">
        <w:rPr>
          <w:rFonts w:eastAsia="Times New Roman" w:cs="Times New Roman"/>
          <w:lang w:eastAsia="en-US"/>
        </w:rPr>
        <w:t>Гельдибаев</w:t>
      </w:r>
      <w:proofErr w:type="spellEnd"/>
      <w:r w:rsidRPr="00D84AE6">
        <w:rPr>
          <w:rFonts w:eastAsia="Times New Roman" w:cs="Times New Roman"/>
          <w:lang w:eastAsia="en-US"/>
        </w:rPr>
        <w:t xml:space="preserve"> М.Х.</w:t>
      </w:r>
    </w:p>
    <w:p w:rsidR="00976BE7" w:rsidRPr="00D84AE6" w:rsidRDefault="00976BE7" w:rsidP="00976BE7">
      <w:pPr>
        <w:widowControl w:val="0"/>
        <w:autoSpaceDE w:val="0"/>
        <w:autoSpaceDN w:val="0"/>
        <w:jc w:val="center"/>
        <w:rPr>
          <w:rFonts w:eastAsia="Times New Roman" w:cs="Times New Roman"/>
          <w:lang w:eastAsia="en-US"/>
        </w:rPr>
      </w:pPr>
    </w:p>
    <w:tbl>
      <w:tblPr>
        <w:tblW w:w="9347" w:type="dxa"/>
        <w:tblInd w:w="5" w:type="dxa"/>
        <w:tblCellMar>
          <w:top w:w="55" w:type="dxa"/>
          <w:right w:w="48" w:type="dxa"/>
        </w:tblCellMar>
        <w:tblLook w:val="04A0" w:firstRow="1" w:lastRow="0" w:firstColumn="1" w:lastColumn="0" w:noHBand="0" w:noVBand="1"/>
      </w:tblPr>
      <w:tblGrid>
        <w:gridCol w:w="3041"/>
        <w:gridCol w:w="6306"/>
      </w:tblGrid>
      <w:tr w:rsidR="00976BE7" w:rsidRPr="00D84AE6" w:rsidTr="008B362E">
        <w:trPr>
          <w:trHeight w:val="278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BE7" w:rsidRPr="00D84AE6" w:rsidRDefault="00976BE7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Цель изучения дисциплины 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BE7" w:rsidRPr="00D84AE6" w:rsidRDefault="00976BE7" w:rsidP="00976B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>совершенствование теоретической подготовки студентов, обучающихся по магистерской программе «Юри</w:t>
            </w:r>
            <w:proofErr w:type="gramStart"/>
            <w:r w:rsidRPr="00D84AE6">
              <w:rPr>
                <w:rFonts w:eastAsia="Times New Roman" w:cs="Times New Roman"/>
                <w:lang w:eastAsia="en-US"/>
              </w:rPr>
              <w:t>ст в сф</w:t>
            </w:r>
            <w:proofErr w:type="gramEnd"/>
            <w:r w:rsidRPr="00D84AE6">
              <w:rPr>
                <w:rFonts w:eastAsia="Times New Roman" w:cs="Times New Roman"/>
                <w:lang w:eastAsia="en-US"/>
              </w:rPr>
              <w:t xml:space="preserve">ере уголовного судопроизводства», обеспечивающее глубокое усвоение уголовного права на уровне, предусмотренном Федеральным государственным образовательным стандартом; </w:t>
            </w:r>
          </w:p>
          <w:p w:rsidR="00976BE7" w:rsidRPr="00D84AE6" w:rsidRDefault="00976BE7" w:rsidP="00976B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подготовка квалифицированных кадров, способных самостоятельно решать сложные задачи в области применения законодательства об ответственности за преступления против здоровья населения и общественной нравственности. </w:t>
            </w:r>
          </w:p>
        </w:tc>
      </w:tr>
      <w:tr w:rsidR="00976BE7" w:rsidRPr="00D84AE6" w:rsidTr="008B362E">
        <w:tblPrEx>
          <w:tblCellMar>
            <w:top w:w="14" w:type="dxa"/>
            <w:right w:w="0" w:type="dxa"/>
          </w:tblCellMar>
        </w:tblPrEx>
        <w:trPr>
          <w:trHeight w:val="86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BE7" w:rsidRPr="00D84AE6" w:rsidRDefault="00976BE7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Место дисциплины в структуре ООП 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BE7" w:rsidRPr="00D84AE6" w:rsidRDefault="00976BE7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Cs/>
                <w:lang w:eastAsia="en-US"/>
              </w:rPr>
              <w:t>Блок Б.1ВВ 5.2 Дисциплины</w:t>
            </w:r>
            <w:r w:rsidRPr="00D84AE6">
              <w:rPr>
                <w:rFonts w:eastAsia="Times New Roman" w:cs="Times New Roman"/>
                <w:lang w:eastAsia="en-US"/>
              </w:rPr>
              <w:t xml:space="preserve"> по выбору </w:t>
            </w:r>
          </w:p>
          <w:p w:rsidR="00976BE7" w:rsidRPr="00D84AE6" w:rsidRDefault="00976BE7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 </w:t>
            </w:r>
            <w:r w:rsidRPr="00D84AE6">
              <w:rPr>
                <w:rFonts w:eastAsia="Times New Roman" w:cs="Times New Roman"/>
                <w:lang w:eastAsia="en-US"/>
              </w:rPr>
              <w:tab/>
              <w:t xml:space="preserve">  </w:t>
            </w:r>
          </w:p>
        </w:tc>
      </w:tr>
      <w:tr w:rsidR="00976BE7" w:rsidRPr="00D84AE6" w:rsidTr="008B362E">
        <w:tblPrEx>
          <w:tblCellMar>
            <w:top w:w="14" w:type="dxa"/>
            <w:right w:w="0" w:type="dxa"/>
          </w:tblCellMar>
        </w:tblPrEx>
        <w:trPr>
          <w:trHeight w:val="35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BE7" w:rsidRPr="00D84AE6" w:rsidRDefault="00976BE7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Компетенции, формируемые в результате освоения дисциплины (модуля) 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BE7" w:rsidRPr="00D84AE6" w:rsidRDefault="00976BE7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ПК-3. </w:t>
            </w:r>
            <w:proofErr w:type="gramStart"/>
            <w:r w:rsidRPr="00D84AE6">
              <w:rPr>
                <w:rFonts w:eastAsia="Times New Roman" w:cs="Times New Roman"/>
                <w:lang w:eastAsia="en-US"/>
              </w:rPr>
              <w:t>Способен</w:t>
            </w:r>
            <w:proofErr w:type="gramEnd"/>
            <w:r w:rsidRPr="00D84AE6">
              <w:rPr>
                <w:rFonts w:eastAsia="Times New Roman" w:cs="Times New Roman"/>
                <w:lang w:eastAsia="en-US"/>
              </w:rPr>
              <w:t xml:space="preserve"> применять международные правовые акты и нормативные правовые акты Российской Федерации при рассмотрении судами уголовных дел, а также составлять судебные акты (протоколов, постановлений, определений, приговоров и др.). </w:t>
            </w:r>
          </w:p>
          <w:p w:rsidR="00976BE7" w:rsidRPr="00D84AE6" w:rsidRDefault="00976BE7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ПК-4. Способен применять международные правовые акты и нормативные правовые акты Российской Федерации при реализации полномочий органами публичной власти, способен составлять правоприменительные документы  (протесты, представления, постановления и др.) </w:t>
            </w:r>
          </w:p>
          <w:p w:rsidR="00976BE7" w:rsidRPr="00D84AE6" w:rsidRDefault="00976BE7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ПК-5. </w:t>
            </w:r>
            <w:proofErr w:type="gramStart"/>
            <w:r w:rsidRPr="00D84AE6">
              <w:rPr>
                <w:rFonts w:eastAsia="Times New Roman" w:cs="Times New Roman"/>
                <w:lang w:eastAsia="en-US"/>
              </w:rPr>
              <w:t>Способен</w:t>
            </w:r>
            <w:proofErr w:type="gramEnd"/>
            <w:r w:rsidRPr="00D84AE6">
              <w:rPr>
                <w:rFonts w:eastAsia="Times New Roman" w:cs="Times New Roman"/>
                <w:lang w:eastAsia="en-US"/>
              </w:rPr>
              <w:t xml:space="preserve">  подготавливать консультации по правовым  вопросам (включая уголовно-правовым и уголовно процессуальным) и подготавливать правовые документы.  </w:t>
            </w:r>
          </w:p>
        </w:tc>
      </w:tr>
      <w:tr w:rsidR="00976BE7" w:rsidRPr="00D84AE6" w:rsidTr="008B362E">
        <w:tblPrEx>
          <w:tblCellMar>
            <w:top w:w="14" w:type="dxa"/>
            <w:right w:w="0" w:type="dxa"/>
          </w:tblCellMar>
        </w:tblPrEx>
        <w:trPr>
          <w:trHeight w:val="227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BE7" w:rsidRPr="00D84AE6" w:rsidRDefault="00976BE7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Содержание дисциплины </w:t>
            </w:r>
          </w:p>
          <w:p w:rsidR="00976BE7" w:rsidRPr="00D84AE6" w:rsidRDefault="00976BE7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(модуля) </w:t>
            </w:r>
          </w:p>
        </w:tc>
        <w:tc>
          <w:tcPr>
            <w:tcW w:w="6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BE7" w:rsidRPr="00D84AE6" w:rsidRDefault="00976BE7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Тема 1. Общая характеристика и классификация преступлений против здоровья населения и общественной нравственности. Основные тенденции в развитии </w:t>
            </w:r>
          </w:p>
          <w:p w:rsidR="00976BE7" w:rsidRPr="00D84AE6" w:rsidRDefault="00976BE7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законодательства </w:t>
            </w:r>
          </w:p>
          <w:p w:rsidR="00976BE7" w:rsidRPr="00D84AE6" w:rsidRDefault="00976BE7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Тема 2. Незаконный оборот наркотических средств, психотропных веществ и их аналогов, а также растений либо их частей, содержащих наркотические средства или психотропные вещества, без цели сбыта. Незаконный оборот </w:t>
            </w:r>
            <w:proofErr w:type="spellStart"/>
            <w:r w:rsidRPr="00D84AE6">
              <w:rPr>
                <w:rFonts w:eastAsia="Times New Roman" w:cs="Times New Roman"/>
                <w:lang w:eastAsia="en-US"/>
              </w:rPr>
              <w:t>прекурсоров</w:t>
            </w:r>
            <w:proofErr w:type="spellEnd"/>
            <w:r w:rsidRPr="00D84AE6">
              <w:rPr>
                <w:rFonts w:eastAsia="Times New Roman" w:cs="Times New Roman"/>
                <w:lang w:eastAsia="en-US"/>
              </w:rPr>
              <w:t xml:space="preserve"> наркотических средств или  психотропных веществ, а также растений либо их частей, содержащих </w:t>
            </w:r>
            <w:proofErr w:type="spellStart"/>
            <w:r w:rsidRPr="00D84AE6">
              <w:rPr>
                <w:rFonts w:eastAsia="Times New Roman" w:cs="Times New Roman"/>
                <w:lang w:eastAsia="en-US"/>
              </w:rPr>
              <w:t>прекурсоры</w:t>
            </w:r>
            <w:proofErr w:type="spellEnd"/>
            <w:r w:rsidRPr="00D84AE6">
              <w:rPr>
                <w:rFonts w:eastAsia="Times New Roman" w:cs="Times New Roman"/>
                <w:lang w:eastAsia="en-US"/>
              </w:rPr>
              <w:t xml:space="preserve"> наркотических средств или психотропных веществ, без цели сбыта (ст. 228</w:t>
            </w:r>
            <w:r w:rsidRPr="00D84AE6">
              <w:rPr>
                <w:rFonts w:eastAsia="Times New Roman" w:cs="Times New Roman"/>
                <w:b/>
                <w:i/>
                <w:lang w:eastAsia="en-US"/>
              </w:rPr>
              <w:t xml:space="preserve">, </w:t>
            </w:r>
            <w:r w:rsidRPr="00D84AE6">
              <w:rPr>
                <w:rFonts w:eastAsia="Times New Roman" w:cs="Times New Roman"/>
                <w:lang w:eastAsia="en-US"/>
              </w:rPr>
              <w:t xml:space="preserve">228–3  УК РФ).   </w:t>
            </w:r>
          </w:p>
          <w:p w:rsidR="00976BE7" w:rsidRPr="00D84AE6" w:rsidRDefault="00976BE7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Тема 3. </w:t>
            </w:r>
            <w:proofErr w:type="gramStart"/>
            <w:r w:rsidRPr="00D84AE6">
              <w:rPr>
                <w:rFonts w:eastAsia="Times New Roman" w:cs="Times New Roman"/>
                <w:lang w:eastAsia="en-US"/>
              </w:rPr>
              <w:t xml:space="preserve">Незаконные производство, сбыт или пересылка наркотических средств, психотропных веществ и их аналогов, а также растений либо их частей, содержащих наркотические средства или психотропные вещества; незаконные производство, сбыт или пересылка </w:t>
            </w:r>
            <w:proofErr w:type="spellStart"/>
            <w:r w:rsidRPr="00D84AE6">
              <w:rPr>
                <w:rFonts w:eastAsia="Times New Roman" w:cs="Times New Roman"/>
                <w:lang w:eastAsia="en-US"/>
              </w:rPr>
              <w:t>прекурсоров</w:t>
            </w:r>
            <w:proofErr w:type="spellEnd"/>
            <w:r w:rsidRPr="00D84AE6">
              <w:rPr>
                <w:rFonts w:eastAsia="Times New Roman" w:cs="Times New Roman"/>
                <w:lang w:eastAsia="en-US"/>
              </w:rPr>
              <w:t xml:space="preserve"> наркотических средств, психотропных веществ, а также </w:t>
            </w:r>
            <w:r w:rsidRPr="00D84AE6">
              <w:rPr>
                <w:rFonts w:eastAsia="Times New Roman" w:cs="Times New Roman"/>
                <w:lang w:eastAsia="en-US"/>
              </w:rPr>
              <w:lastRenderedPageBreak/>
              <w:t xml:space="preserve">растений либо их частей, содержащих </w:t>
            </w:r>
            <w:proofErr w:type="spellStart"/>
            <w:r w:rsidRPr="00D84AE6">
              <w:rPr>
                <w:rFonts w:eastAsia="Times New Roman" w:cs="Times New Roman"/>
                <w:lang w:eastAsia="en-US"/>
              </w:rPr>
              <w:t>прекурсоры</w:t>
            </w:r>
            <w:proofErr w:type="spellEnd"/>
            <w:r w:rsidRPr="00D84AE6">
              <w:rPr>
                <w:rFonts w:eastAsia="Times New Roman" w:cs="Times New Roman"/>
                <w:lang w:eastAsia="en-US"/>
              </w:rPr>
              <w:t xml:space="preserve"> наркотических средств или психотропных веществ (ст.228-1, 228-4  УК РФ) </w:t>
            </w:r>
            <w:proofErr w:type="gramEnd"/>
          </w:p>
          <w:p w:rsidR="00976BE7" w:rsidRPr="00D84AE6" w:rsidRDefault="00976BE7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Тема 4. Нарушение правил оборота наркотических средств или психотропных веществ. Хищение или вымогательство наркотических средств или психотропных веществ, а также растений либо их частей, содержащих наркотические средства или психотропные вещества. Контрабанда наркотических средств, психотропных веществ, их </w:t>
            </w:r>
            <w:proofErr w:type="spellStart"/>
            <w:r w:rsidRPr="00D84AE6">
              <w:rPr>
                <w:rFonts w:eastAsia="Times New Roman" w:cs="Times New Roman"/>
                <w:lang w:eastAsia="en-US"/>
              </w:rPr>
              <w:t>прекурсоров</w:t>
            </w:r>
            <w:proofErr w:type="spellEnd"/>
            <w:r w:rsidRPr="00D84AE6">
              <w:rPr>
                <w:rFonts w:eastAsia="Times New Roman" w:cs="Times New Roman"/>
                <w:lang w:eastAsia="en-US"/>
              </w:rPr>
              <w:t xml:space="preserve"> или аналогов, растений или их частей, содержащих наркотические средства, психотропные вещества или их </w:t>
            </w:r>
            <w:proofErr w:type="spellStart"/>
            <w:r w:rsidRPr="00D84AE6">
              <w:rPr>
                <w:rFonts w:eastAsia="Times New Roman" w:cs="Times New Roman"/>
                <w:lang w:eastAsia="en-US"/>
              </w:rPr>
              <w:t>прекурсоры</w:t>
            </w:r>
            <w:proofErr w:type="spellEnd"/>
            <w:r w:rsidRPr="00D84AE6">
              <w:rPr>
                <w:rFonts w:eastAsia="Times New Roman" w:cs="Times New Roman"/>
                <w:lang w:eastAsia="en-US"/>
              </w:rPr>
              <w:t xml:space="preserve">, инструментов или оборудования, находящихся под специальным контролем и используемых для изготовления наркотических средств или психотропных веществ. Склонение к потреблению наркотических средств,  психотропных веществ или их аналогов. Склонение спортсмена к использованию </w:t>
            </w:r>
          </w:p>
        </w:tc>
      </w:tr>
      <w:tr w:rsidR="00976BE7" w:rsidRPr="00D84AE6" w:rsidTr="008B362E">
        <w:tblPrEx>
          <w:tblCellMar>
            <w:top w:w="14" w:type="dxa"/>
            <w:right w:w="0" w:type="dxa"/>
          </w:tblCellMar>
        </w:tblPrEx>
        <w:trPr>
          <w:trHeight w:val="1251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76BE7" w:rsidRPr="00D84AE6" w:rsidRDefault="00976BE7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lang w:eastAsia="en-US"/>
              </w:rPr>
            </w:pPr>
            <w:r w:rsidRPr="00D84AE6">
              <w:rPr>
                <w:rFonts w:eastAsia="Times New Roman" w:cs="Times New Roman"/>
                <w:b/>
                <w:bCs/>
                <w:color w:val="000000"/>
              </w:rPr>
              <w:lastRenderedPageBreak/>
              <w:t>Общая трудоемкость</w:t>
            </w:r>
            <w:r w:rsidRPr="00D84AE6">
              <w:rPr>
                <w:rFonts w:eastAsia="Times New Roman" w:cs="Times New Roman"/>
                <w:i/>
                <w:iCs/>
                <w:color w:val="000000"/>
              </w:rPr>
              <w:t> </w:t>
            </w:r>
            <w:r w:rsidRPr="00D84AE6">
              <w:rPr>
                <w:rFonts w:eastAsia="Times New Roman" w:cs="Times New Roman"/>
                <w:b/>
                <w:bCs/>
                <w:color w:val="000000"/>
              </w:rPr>
              <w:t>дисциплины (модуля)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BE7" w:rsidRPr="00D84AE6" w:rsidRDefault="00976BE7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Общая трудоемкость дисциплины составляет 1 зачетную единицу, 36 часов.</w:t>
            </w:r>
          </w:p>
          <w:p w:rsidR="00976BE7" w:rsidRPr="00D84AE6" w:rsidRDefault="00976BE7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</w:rPr>
              <w:t> </w:t>
            </w:r>
          </w:p>
        </w:tc>
      </w:tr>
      <w:tr w:rsidR="00976BE7" w:rsidRPr="00D84AE6" w:rsidTr="008B362E">
        <w:tblPrEx>
          <w:tblCellMar>
            <w:top w:w="14" w:type="dxa"/>
            <w:right w:w="0" w:type="dxa"/>
          </w:tblCellMar>
        </w:tblPrEx>
        <w:trPr>
          <w:trHeight w:val="1240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76BE7" w:rsidRPr="00D84AE6" w:rsidRDefault="00976BE7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lang w:eastAsia="en-US"/>
              </w:rPr>
            </w:pPr>
            <w:r w:rsidRPr="00D84AE6">
              <w:rPr>
                <w:rFonts w:eastAsia="Times New Roman" w:cs="Times New Roman"/>
                <w:b/>
                <w:bCs/>
                <w:color w:val="000000"/>
              </w:rPr>
              <w:t>Форма промежуточной аттестации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BE7" w:rsidRPr="00D84AE6" w:rsidRDefault="00976BE7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color w:val="000000"/>
              </w:rPr>
              <w:t>Дифференцированный зачет (3)</w:t>
            </w:r>
          </w:p>
        </w:tc>
      </w:tr>
    </w:tbl>
    <w:p w:rsidR="0044500F" w:rsidRDefault="0044500F"/>
    <w:sectPr w:rsidR="0044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04204"/>
    <w:multiLevelType w:val="hybridMultilevel"/>
    <w:tmpl w:val="A84C08E6"/>
    <w:lvl w:ilvl="0" w:tplc="C5943EC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202F1E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1EA2DA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C85A80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CE370A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B24F82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562B5A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342C98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78459E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E7"/>
    <w:rsid w:val="0044500F"/>
    <w:rsid w:val="0097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E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E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1</cp:revision>
  <dcterms:created xsi:type="dcterms:W3CDTF">2024-03-13T08:49:00Z</dcterms:created>
  <dcterms:modified xsi:type="dcterms:W3CDTF">2024-03-13T08:50:00Z</dcterms:modified>
</cp:coreProperties>
</file>