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585" w:rsidRPr="00C44D98" w:rsidRDefault="006E0585" w:rsidP="006E05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D98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6E0585" w:rsidRPr="00C44D98" w:rsidRDefault="006E0585" w:rsidP="006E05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98">
        <w:rPr>
          <w:rFonts w:ascii="Times New Roman" w:hAnsi="Times New Roman" w:cs="Times New Roman"/>
          <w:b/>
          <w:sz w:val="28"/>
          <w:szCs w:val="28"/>
        </w:rPr>
        <w:t>«Особенности рассмотрения в государственных и третейских судах гражданских дел с участием иностранных лиц»</w:t>
      </w:r>
    </w:p>
    <w:p w:rsidR="006E0585" w:rsidRPr="00C44D98" w:rsidRDefault="006E0585" w:rsidP="006E058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86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методологической основы, доктринальных подходов углубленного понимания нормативно-правовых предписаний и судебной практики в сфере рассмотрения в государственных и третейских судах гражданских дел с участием иностранных лиц, </w:t>
            </w:r>
          </w:p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- формирование у студентов практических навыков в сфере  рассмотрения в государственных и третейских судах гражданских дел с участием иностранных лиц (навыков составления письменных документов юридического содержания)</w:t>
            </w:r>
          </w:p>
        </w:tc>
      </w:tr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</w:tc>
      </w:tr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 xml:space="preserve">Тема 1. Общая характеристика рассмотрения дел с участием иностранных лиц. </w:t>
            </w:r>
          </w:p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Тема 2. Особенности рассмотрения дел с участием иностранных лиц в государственных судах.</w:t>
            </w:r>
          </w:p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Тема 3. Особенности рассмотрения дел с участием иностранных лиц в третейских судах и международных коммерческих арбитражах.</w:t>
            </w:r>
          </w:p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Тема 4. Основания применения и установление содержания иностранного права при рассмотрении дел с участием иностранных лиц.</w:t>
            </w:r>
          </w:p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>Тема 5. Признание и исполнение решений иностранных судов и третейских судов (международных коммерческих арбитражей) в РФ.</w:t>
            </w:r>
          </w:p>
        </w:tc>
      </w:tr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>Общая трудоемкость</w:t>
            </w:r>
            <w:r w:rsidRPr="00C44D98">
              <w:rPr>
                <w:i/>
                <w:sz w:val="28"/>
                <w:szCs w:val="28"/>
              </w:rPr>
              <w:t xml:space="preserve"> </w:t>
            </w:r>
            <w:r w:rsidRPr="00C44D98">
              <w:rPr>
                <w:sz w:val="28"/>
                <w:szCs w:val="28"/>
              </w:rPr>
              <w:t>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дисциплины составляет 2 зачетные единицы (72 часа) </w:t>
            </w:r>
          </w:p>
        </w:tc>
      </w:tr>
      <w:tr w:rsidR="006E0585" w:rsidRPr="00C44D98" w:rsidTr="002C79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C44D98">
              <w:rPr>
                <w:sz w:val="28"/>
                <w:szCs w:val="28"/>
              </w:rPr>
              <w:t xml:space="preserve">Форма </w:t>
            </w:r>
            <w:r w:rsidRPr="00C44D98">
              <w:rPr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5" w:rsidRPr="00C44D98" w:rsidRDefault="006E058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</w:tr>
    </w:tbl>
    <w:p w:rsidR="00181C38" w:rsidRPr="00C44D9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C44D9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91BAF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6E0585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44D98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2020-06-23T09:51:00Z</dcterms:created>
  <dcterms:modified xsi:type="dcterms:W3CDTF">2020-06-23T09:51:00Z</dcterms:modified>
</cp:coreProperties>
</file>