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>производстве</w:t>
      </w:r>
      <w:r w:rsidR="008F76CE">
        <w:rPr>
          <w:rFonts w:ascii="Times New Roman" w:hAnsi="Times New Roman"/>
          <w:sz w:val="26"/>
          <w:szCs w:val="26"/>
        </w:rPr>
        <w:t>нная  практика (</w:t>
      </w:r>
      <w:r w:rsidR="00701E7F">
        <w:rPr>
          <w:rFonts w:ascii="Times New Roman" w:hAnsi="Times New Roman"/>
          <w:sz w:val="26"/>
          <w:szCs w:val="26"/>
        </w:rPr>
        <w:t>преддипломная</w:t>
      </w:r>
      <w:r w:rsidRPr="008C2523">
        <w:rPr>
          <w:rFonts w:ascii="Times New Roman" w:hAnsi="Times New Roman"/>
          <w:sz w:val="26"/>
          <w:szCs w:val="26"/>
        </w:rPr>
        <w:t xml:space="preserve">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</w:t>
      </w:r>
      <w:r w:rsidR="00227CDD">
        <w:rPr>
          <w:rFonts w:ascii="Times New Roman" w:hAnsi="Times New Roman"/>
          <w:sz w:val="24"/>
          <w:szCs w:val="24"/>
        </w:rPr>
        <w:t>2</w:t>
      </w:r>
      <w:r w:rsidRPr="008C2523">
        <w:rPr>
          <w:rFonts w:ascii="Times New Roman" w:hAnsi="Times New Roman"/>
          <w:sz w:val="24"/>
          <w:szCs w:val="24"/>
        </w:rPr>
        <w:t xml:space="preserve">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proofErr w:type="gramStart"/>
      <w:r w:rsidR="00FA57FD">
        <w:rPr>
          <w:rFonts w:ascii="Times New Roman" w:hAnsi="Times New Roman"/>
          <w:sz w:val="24"/>
          <w:szCs w:val="24"/>
        </w:rPr>
        <w:t>ст в сф</w:t>
      </w:r>
      <w:proofErr w:type="gramEnd"/>
      <w:r w:rsidR="00FA57FD">
        <w:rPr>
          <w:rFonts w:ascii="Times New Roman" w:hAnsi="Times New Roman"/>
          <w:sz w:val="24"/>
          <w:szCs w:val="24"/>
        </w:rPr>
        <w:t>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</w:t>
      </w:r>
      <w:r w:rsidR="00227CDD">
        <w:rPr>
          <w:rFonts w:ascii="Times New Roman" w:hAnsi="Times New Roman"/>
          <w:sz w:val="24"/>
          <w:szCs w:val="24"/>
        </w:rPr>
        <w:t>9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227CDD">
        <w:rPr>
          <w:rFonts w:ascii="Times New Roman" w:hAnsi="Times New Roman"/>
          <w:sz w:val="24"/>
          <w:szCs w:val="24"/>
        </w:rPr>
        <w:t>8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="00227CDD">
        <w:rPr>
          <w:rFonts w:ascii="Times New Roman" w:hAnsi="Times New Roman"/>
          <w:sz w:val="24"/>
          <w:szCs w:val="24"/>
        </w:rPr>
        <w:t xml:space="preserve">  2022</w:t>
      </w:r>
      <w:r w:rsidRPr="008C2523">
        <w:rPr>
          <w:rFonts w:ascii="Times New Roman" w:hAnsi="Times New Roman"/>
          <w:sz w:val="24"/>
          <w:szCs w:val="24"/>
        </w:rPr>
        <w:t xml:space="preserve">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proofErr w:type="spellStart"/>
      <w:r w:rsidR="00FA57FD">
        <w:rPr>
          <w:rFonts w:ascii="Times New Roman" w:hAnsi="Times New Roman"/>
          <w:sz w:val="24"/>
          <w:szCs w:val="24"/>
        </w:rPr>
        <w:t>Сварчевский</w:t>
      </w:r>
      <w:proofErr w:type="spellEnd"/>
      <w:r w:rsidR="00FA57FD">
        <w:rPr>
          <w:rFonts w:ascii="Times New Roman" w:hAnsi="Times New Roman"/>
          <w:sz w:val="24"/>
          <w:szCs w:val="24"/>
        </w:rPr>
        <w:t xml:space="preserve">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>.ю.н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</w:t>
      </w:r>
      <w:r w:rsidR="00227CDD">
        <w:rPr>
          <w:rStyle w:val="33"/>
          <w:rFonts w:ascii="Times New Roman" w:hAnsi="Times New Roman"/>
          <w:sz w:val="24"/>
          <w:szCs w:val="24"/>
        </w:rPr>
        <w:t>2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</w:t>
      </w:r>
      <w:r w:rsidR="008F76CE">
        <w:rPr>
          <w:rFonts w:ascii="Times New Roman" w:hAnsi="Times New Roman"/>
          <w:sz w:val="24"/>
          <w:szCs w:val="24"/>
        </w:rPr>
        <w:t>твенной  практики (</w:t>
      </w:r>
      <w:proofErr w:type="gramStart"/>
      <w:r w:rsidR="00701E7F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FA57FD">
        <w:rPr>
          <w:rFonts w:ascii="Times New Roman" w:hAnsi="Times New Roman"/>
          <w:sz w:val="24"/>
          <w:szCs w:val="24"/>
        </w:rPr>
        <w:t>)</w:t>
      </w:r>
    </w:p>
    <w:p w:rsidR="008C2523" w:rsidRPr="00DF202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Разработчик:</w:t>
      </w:r>
      <w:r w:rsidR="00701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Гусева Т.С., </w:t>
      </w:r>
      <w:proofErr w:type="spellStart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профессор</w:t>
      </w:r>
      <w:bookmarkStart w:id="0" w:name="_Toc273990196"/>
      <w:bookmarkStart w:id="1" w:name="_Toc272862747"/>
      <w:bookmarkStart w:id="2" w:name="_Toc272862236"/>
      <w:bookmarkStart w:id="3" w:name="_Toc272861636"/>
      <w:bookmarkStart w:id="4" w:name="_GoBack"/>
      <w:bookmarkEnd w:id="4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F" w:rsidRPr="00701E7F" w:rsidRDefault="00701E7F" w:rsidP="00701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планируемых результатов обучения при прохождении практики, соотнесенных с результатами освоения образовательной программы.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 w:rsidP="00701E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</w:t>
            </w:r>
            <w:r w:rsidR="00701E7F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)</w:t>
            </w:r>
            <w:r w:rsidR="008F76CE" w:rsidRPr="008F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Производственная  практика (</w:t>
            </w:r>
            <w:r w:rsidR="00701E7F">
              <w:rPr>
                <w:rFonts w:ascii="Times New Roman" w:hAnsi="Times New Roman"/>
              </w:rPr>
              <w:t>преддипломная</w:t>
            </w:r>
            <w:r w:rsidRPr="000408A5">
              <w:rPr>
                <w:rFonts w:ascii="Times New Roman" w:hAnsi="Times New Roman"/>
              </w:rPr>
              <w:t xml:space="preserve">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 w:rsidP="00701E7F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Сроки прохождения </w:t>
            </w:r>
            <w:r w:rsidR="00701E7F">
              <w:rPr>
                <w:rFonts w:ascii="Times New Roman" w:hAnsi="Times New Roman"/>
              </w:rPr>
              <w:t>производственной</w:t>
            </w:r>
            <w:r w:rsidRPr="000408A5">
              <w:rPr>
                <w:rFonts w:ascii="Times New Roman" w:hAnsi="Times New Roman"/>
              </w:rPr>
              <w:t xml:space="preserve">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F" w:rsidRPr="006B2C3F" w:rsidRDefault="006B2C3F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ОПК-1.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701E7F" w:rsidRPr="006B2C3F" w:rsidRDefault="00701E7F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ПК-2.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магистратуры.</w:t>
            </w:r>
          </w:p>
          <w:p w:rsidR="005211CA" w:rsidRPr="006B2C3F" w:rsidRDefault="00F72158" w:rsidP="005211CA">
            <w:pPr>
              <w:pStyle w:val="af9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ПК-3.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акты.</w:t>
            </w:r>
          </w:p>
          <w:p w:rsidR="008C2523" w:rsidRPr="006B2C3F" w:rsidRDefault="00F72158" w:rsidP="005211C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ПК-4.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</w:p>
          <w:p w:rsidR="00F72158" w:rsidRPr="006B2C3F" w:rsidRDefault="00F72158" w:rsidP="00F7215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</w:rPr>
              <w:t xml:space="preserve">ПК-5. </w:t>
            </w:r>
            <w:proofErr w:type="gramStart"/>
            <w:r w:rsidRPr="006B2C3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B2C3F">
              <w:rPr>
                <w:rFonts w:ascii="Times New Roman" w:hAnsi="Times New Roman" w:cs="Times New Roman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 w:rsidP="001E0BDC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1E0BDC">
              <w:rPr>
                <w:rFonts w:ascii="Times New Roman" w:hAnsi="Times New Roman"/>
              </w:rPr>
              <w:t>6 зачетных единиц,     216</w:t>
            </w:r>
            <w:r w:rsidR="00701E7F">
              <w:rPr>
                <w:rFonts w:ascii="Times New Roman" w:hAnsi="Times New Roman"/>
              </w:rPr>
              <w:t xml:space="preserve"> часов</w:t>
            </w:r>
            <w:r w:rsidRPr="005F670F">
              <w:rPr>
                <w:rFonts w:ascii="Times New Roman" w:hAnsi="Times New Roman"/>
              </w:rPr>
              <w:t>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(</w:t>
      </w:r>
      <w:r w:rsidR="00701E7F">
        <w:rPr>
          <w:rStyle w:val="35"/>
          <w:rFonts w:ascii="Times New Roman" w:hAnsi="Times New Roman"/>
          <w:sz w:val="24"/>
          <w:szCs w:val="24"/>
        </w:rPr>
        <w:t>ПРЕДДИПЛОМНАЯ</w:t>
      </w:r>
      <w:r w:rsidRPr="00132D25">
        <w:rPr>
          <w:rStyle w:val="35"/>
          <w:rFonts w:ascii="Times New Roman" w:hAnsi="Times New Roman"/>
          <w:sz w:val="24"/>
          <w:szCs w:val="24"/>
        </w:rPr>
        <w:t>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>производственной  практики (</w:t>
      </w:r>
      <w:proofErr w:type="spellStart"/>
      <w:r w:rsidR="00701E7F">
        <w:rPr>
          <w:rFonts w:ascii="Times New Roman" w:hAnsi="Times New Roman"/>
          <w:b/>
          <w:bCs/>
          <w:sz w:val="24"/>
          <w:szCs w:val="24"/>
        </w:rPr>
        <w:t>преддиплломная</w:t>
      </w:r>
      <w:proofErr w:type="spellEnd"/>
      <w:r w:rsidRPr="00132D2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 в процессе обучения.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</w:t>
      </w:r>
      <w:proofErr w:type="gramStart"/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использовать понятийный аппарат, разрабатывать и оформлять основные документы в сфере  деятельности</w:t>
      </w:r>
      <w:r w:rsidR="00F7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>2. ВИД  ПРОИЗВОДСТВЕННОЙ  ПРАКТИКИ (</w:t>
      </w:r>
      <w:r w:rsidR="00126E67">
        <w:rPr>
          <w:rStyle w:val="33"/>
          <w:rFonts w:ascii="Times New Roman" w:hAnsi="Times New Roman"/>
          <w:sz w:val="24"/>
          <w:szCs w:val="24"/>
        </w:rPr>
        <w:t>ПРЕДДИПЛОМНАЯ</w:t>
      </w:r>
      <w:r w:rsidRPr="00755E0A">
        <w:rPr>
          <w:rStyle w:val="33"/>
          <w:rFonts w:ascii="Times New Roman" w:hAnsi="Times New Roman"/>
          <w:sz w:val="24"/>
          <w:szCs w:val="24"/>
        </w:rPr>
        <w:t>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126E67">
        <w:rPr>
          <w:rFonts w:ascii="Times New Roman" w:hAnsi="Times New Roman"/>
          <w:sz w:val="24"/>
          <w:szCs w:val="24"/>
        </w:rPr>
        <w:t>преддипломная</w:t>
      </w:r>
      <w:r w:rsidRPr="00755E0A">
        <w:rPr>
          <w:rFonts w:ascii="Times New Roman" w:hAnsi="Times New Roman"/>
          <w:sz w:val="24"/>
          <w:szCs w:val="24"/>
        </w:rPr>
        <w:t>)</w:t>
      </w:r>
      <w:r w:rsidR="00126E67">
        <w:rPr>
          <w:rFonts w:ascii="Times New Roman" w:hAnsi="Times New Roman"/>
          <w:sz w:val="24"/>
          <w:szCs w:val="24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</w:t>
      </w:r>
      <w:r w:rsidRPr="00755E0A">
        <w:rPr>
          <w:rFonts w:ascii="Times New Roman" w:hAnsi="Times New Roman"/>
          <w:sz w:val="24"/>
          <w:szCs w:val="24"/>
        </w:rPr>
        <w:lastRenderedPageBreak/>
        <w:t xml:space="preserve">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6B2C3F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F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F" w:rsidRDefault="006B2C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F" w:rsidRPr="006B2C3F" w:rsidRDefault="006B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3F">
              <w:rPr>
                <w:rFonts w:ascii="Times New Roman" w:hAnsi="Times New Roman" w:cs="Times New Roman"/>
                <w:sz w:val="24"/>
                <w:szCs w:val="24"/>
              </w:rPr>
              <w:t xml:space="preserve"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 </w:t>
            </w:r>
          </w:p>
          <w:p w:rsidR="006B2C3F" w:rsidRPr="00126E67" w:rsidRDefault="006B2C3F">
            <w:pPr>
              <w:jc w:val="both"/>
              <w:rPr>
                <w:rFonts w:ascii="Times New Roman" w:hAnsi="Times New Roman" w:cs="Times New Roman"/>
              </w:rPr>
            </w:pPr>
            <w:r w:rsidRPr="006B2C3F">
              <w:rPr>
                <w:rFonts w:ascii="Times New Roman" w:hAnsi="Times New Roman" w:cs="Times New Roman"/>
                <w:sz w:val="24"/>
                <w:szCs w:val="24"/>
              </w:rPr>
              <w:t>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</w:tc>
      </w:tr>
      <w:tr w:rsidR="00126E67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67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67" w:rsidRDefault="00126E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>ПК-2.1.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ПК-2.2. Публично представляет результаты научных исследований в области юриспруденции </w:t>
            </w:r>
          </w:p>
          <w:p w:rsidR="00126E67" w:rsidRPr="00126E67" w:rsidRDefault="00126E67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F72158" w:rsidRPr="00126E67" w:rsidRDefault="00514FF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514FFC" w:rsidRPr="00126E67" w:rsidRDefault="00514FFC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F72158" w:rsidRPr="00126E67" w:rsidRDefault="00514FF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126E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6E67">
              <w:rPr>
                <w:rFonts w:ascii="Times New Roman" w:hAnsi="Times New Roman" w:cs="Times New Roman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</w:t>
            </w:r>
            <w:r w:rsidRPr="00126E67">
              <w:rPr>
                <w:rFonts w:ascii="Times New Roman" w:hAnsi="Times New Roman" w:cs="Times New Roman"/>
              </w:rPr>
              <w:lastRenderedPageBreak/>
              <w:t>трудового права, в том числе готовит процессуальные документы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6B2C3F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126E67" w:rsidRDefault="00F72158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F72158" w:rsidRPr="00126E67" w:rsidRDefault="00F72158">
            <w:pPr>
              <w:jc w:val="both"/>
              <w:rPr>
                <w:rFonts w:ascii="Times New Roman" w:hAnsi="Times New Roman" w:cs="Times New Roman"/>
              </w:rPr>
            </w:pPr>
            <w:r w:rsidRPr="00126E67">
              <w:rPr>
                <w:rFonts w:ascii="Times New Roman" w:hAnsi="Times New Roman" w:cs="Times New Roman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</w:t>
            </w:r>
          </w:p>
          <w:p w:rsidR="00F72158" w:rsidRPr="00126E67" w:rsidRDefault="00F7215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26E67">
              <w:rPr>
                <w:rFonts w:ascii="Times New Roman" w:hAnsi="Times New Roman" w:cs="Times New Roman"/>
              </w:rPr>
              <w:t>ПК-5.3. Составляет возражения на акты проверок соблюдения трудового законодательства и иных нормативных правовых актов, содержащих нормы трудового права; заявления, жалобы на решения органов по труду, действия (бездействие) должностных лиц органов по труду.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Производственная   практика (</w:t>
      </w:r>
      <w:r w:rsidR="00126E67">
        <w:rPr>
          <w:rFonts w:ascii="Times New Roman" w:hAnsi="Times New Roman"/>
          <w:sz w:val="24"/>
          <w:szCs w:val="24"/>
        </w:rPr>
        <w:t>преддипломная</w:t>
      </w:r>
      <w:r w:rsidRPr="00792B38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дисциплин</w:t>
      </w:r>
      <w:r w:rsidR="00126E67">
        <w:rPr>
          <w:rFonts w:ascii="Times New Roman" w:hAnsi="Times New Roman"/>
          <w:sz w:val="24"/>
          <w:szCs w:val="24"/>
        </w:rPr>
        <w:t xml:space="preserve"> ОПОП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Прохождение студентами производственной практики (юридическая профессиональная) является составной частью учебного процесса и необходимо для </w:t>
      </w:r>
      <w:r w:rsidR="00126E67">
        <w:rPr>
          <w:rFonts w:ascii="Times New Roman" w:hAnsi="Times New Roman"/>
          <w:sz w:val="24"/>
          <w:szCs w:val="24"/>
        </w:rPr>
        <w:t>завершения работы на ВКР</w:t>
      </w:r>
      <w:r w:rsidRPr="00792B38">
        <w:rPr>
          <w:rFonts w:ascii="Times New Roman" w:hAnsi="Times New Roman"/>
          <w:sz w:val="24"/>
          <w:szCs w:val="24"/>
        </w:rPr>
        <w:t>, а также для формирования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="00514FFC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lastRenderedPageBreak/>
        <w:t>- уметь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</w:t>
      </w:r>
      <w:proofErr w:type="gramStart"/>
      <w:r w:rsidRPr="00E058A4">
        <w:rPr>
          <w:rStyle w:val="ac"/>
          <w:rFonts w:ascii="Times New Roman" w:hAnsi="Times New Roman"/>
          <w:sz w:val="24"/>
          <w:szCs w:val="24"/>
        </w:rPr>
        <w:t>и</w:t>
      </w:r>
      <w:r w:rsidRPr="00E058A4">
        <w:rPr>
          <w:rFonts w:ascii="Times New Roman" w:hAnsi="Times New Roman"/>
          <w:sz w:val="24"/>
          <w:szCs w:val="24"/>
        </w:rPr>
        <w:t>(</w:t>
      </w:r>
      <w:proofErr w:type="gramEnd"/>
      <w:r w:rsidRPr="00E058A4">
        <w:rPr>
          <w:rFonts w:ascii="Times New Roman" w:hAnsi="Times New Roman"/>
          <w:sz w:val="24"/>
          <w:szCs w:val="24"/>
        </w:rPr>
        <w:t xml:space="preserve">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126E67">
        <w:rPr>
          <w:rStyle w:val="ac"/>
          <w:rFonts w:ascii="Times New Roman" w:hAnsi="Times New Roman"/>
          <w:sz w:val="24"/>
          <w:szCs w:val="24"/>
        </w:rPr>
        <w:t>15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</w:t>
      </w:r>
      <w:r w:rsidR="00126E67">
        <w:rPr>
          <w:rStyle w:val="ac"/>
          <w:rFonts w:ascii="Times New Roman" w:hAnsi="Times New Roman"/>
          <w:sz w:val="24"/>
          <w:szCs w:val="24"/>
        </w:rPr>
        <w:t>540 часа (10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недел</w:t>
      </w:r>
      <w:r w:rsidR="00126E67">
        <w:rPr>
          <w:rStyle w:val="ac"/>
          <w:rFonts w:ascii="Times New Roman" w:hAnsi="Times New Roman"/>
          <w:sz w:val="24"/>
          <w:szCs w:val="24"/>
        </w:rPr>
        <w:t>ь</w:t>
      </w:r>
      <w:r w:rsidRPr="003115C4">
        <w:rPr>
          <w:rStyle w:val="ac"/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 w:rsidP="00262DD7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262DD7">
              <w:rPr>
                <w:rFonts w:ascii="Times New Roman" w:hAnsi="Times New Roman"/>
              </w:rPr>
              <w:t>8</w:t>
            </w:r>
            <w:r w:rsidR="00126E67">
              <w:rPr>
                <w:rFonts w:ascii="Times New Roman" w:hAnsi="Times New Roman"/>
              </w:rPr>
              <w:t xml:space="preserve"> </w:t>
            </w:r>
            <w:r w:rsidRPr="00E058A4">
              <w:rPr>
                <w:rFonts w:ascii="Times New Roman" w:hAnsi="Times New Roman"/>
              </w:rPr>
              <w:t>час</w:t>
            </w:r>
            <w:r w:rsidR="00262DD7">
              <w:rPr>
                <w:rFonts w:ascii="Times New Roman" w:hAnsi="Times New Roman"/>
              </w:rPr>
              <w:t>ов</w:t>
            </w:r>
            <w:r w:rsidRPr="00E058A4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</w:t>
            </w:r>
            <w:r w:rsidRPr="00E058A4">
              <w:rPr>
                <w:rFonts w:ascii="Times New Roman" w:hAnsi="Times New Roman"/>
              </w:rPr>
              <w:lastRenderedPageBreak/>
              <w:t>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262DD7" w:rsidP="00126E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</w:t>
            </w:r>
            <w:r w:rsidR="008C2523" w:rsidRPr="00E058A4">
              <w:rPr>
                <w:rFonts w:ascii="Times New Roman" w:hAnsi="Times New Roman"/>
              </w:rPr>
              <w:t xml:space="preserve"> час</w:t>
            </w:r>
            <w:r w:rsidR="00F84CC8">
              <w:rPr>
                <w:rFonts w:ascii="Times New Roman" w:hAnsi="Times New Roman"/>
              </w:rPr>
              <w:t>ов</w:t>
            </w:r>
            <w:r w:rsidR="008C2523" w:rsidRPr="00E058A4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F84CC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8C2523" w:rsidRPr="00E058A4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практики</w:t>
      </w:r>
      <w:r w:rsidR="00514FFC">
        <w:rPr>
          <w:rStyle w:val="ac"/>
          <w:rFonts w:ascii="Times New Roman" w:hAnsi="Times New Roman"/>
          <w:b/>
          <w:bCs/>
        </w:rPr>
        <w:t xml:space="preserve"> </w:t>
      </w:r>
      <w:r w:rsidRPr="00E058A4">
        <w:rPr>
          <w:b/>
          <w:bCs/>
        </w:rPr>
        <w:t>(</w:t>
      </w:r>
      <w:proofErr w:type="gramStart"/>
      <w:r w:rsidR="00F84CC8">
        <w:rPr>
          <w:b/>
          <w:bCs/>
        </w:rPr>
        <w:t>преддипломная</w:t>
      </w:r>
      <w:proofErr w:type="gramEnd"/>
      <w:r w:rsidRPr="00E058A4">
        <w:rPr>
          <w:b/>
          <w:bCs/>
        </w:rPr>
        <w:t>)</w:t>
      </w:r>
      <w:r w:rsidR="00F84CC8">
        <w:rPr>
          <w:b/>
          <w:bCs/>
        </w:rPr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="00514FFC"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</w:t>
      </w:r>
      <w:r w:rsidR="00F84CC8">
        <w:t>, подготовлены выводы ВКР</w:t>
      </w:r>
      <w:r w:rsidRPr="00E058A4">
        <w:t>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 xml:space="preserve">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TimesNewRoman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</w:t>
      </w:r>
      <w:proofErr w:type="spellStart"/>
      <w:r w:rsidR="00DF202B">
        <w:rPr>
          <w:i/>
        </w:rPr>
        <w:t>сформированности</w:t>
      </w:r>
      <w:proofErr w:type="spellEnd"/>
      <w:r w:rsidR="00DF202B">
        <w:rPr>
          <w:i/>
        </w:rPr>
        <w:t xml:space="preserve">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88"/>
      </w:tblGrid>
      <w:tr w:rsidR="006B2C3F" w:rsidRPr="00331575" w:rsidTr="00514FFC">
        <w:trPr>
          <w:trHeight w:val="369"/>
        </w:trPr>
        <w:tc>
          <w:tcPr>
            <w:tcW w:w="2835" w:type="dxa"/>
          </w:tcPr>
          <w:p w:rsidR="006B2C3F" w:rsidRPr="006B2C3F" w:rsidRDefault="006B2C3F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Pr="006B2C3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B2C3F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7088" w:type="dxa"/>
          </w:tcPr>
          <w:p w:rsidR="006B2C3F" w:rsidRPr="006B2C3F" w:rsidRDefault="006B2C3F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 xml:space="preserve"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 </w:t>
            </w:r>
          </w:p>
          <w:p w:rsidR="006B2C3F" w:rsidRPr="006B2C3F" w:rsidRDefault="006B2C3F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3F">
              <w:rPr>
                <w:rFonts w:ascii="Times New Roman" w:hAnsi="Times New Roman"/>
                <w:sz w:val="24"/>
                <w:szCs w:val="24"/>
              </w:rPr>
              <w:t>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</w:tc>
      </w:tr>
      <w:tr w:rsidR="00F84CC8" w:rsidRPr="00331575" w:rsidTr="00514FFC">
        <w:trPr>
          <w:trHeight w:val="369"/>
        </w:trPr>
        <w:tc>
          <w:tcPr>
            <w:tcW w:w="2835" w:type="dxa"/>
          </w:tcPr>
          <w:p w:rsidR="00F84CC8" w:rsidRPr="00F84CC8" w:rsidRDefault="00F84CC8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  <w:proofErr w:type="gramStart"/>
            <w:r w:rsidRPr="00F84CC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  <w:tc>
          <w:tcPr>
            <w:tcW w:w="7088" w:type="dxa"/>
          </w:tcPr>
          <w:p w:rsidR="00F84CC8" w:rsidRPr="00F84CC8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ПК-2.1. Проводит научные исследования с использованием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научных методов в области юриспруденции в соответствии с направленностью (профилем) программы магистратуры</w:t>
            </w:r>
          </w:p>
          <w:p w:rsidR="00F84CC8" w:rsidRPr="00F84CC8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ПК-2.2. Публично представляет результаты научных исследований в области юриспруденции </w:t>
            </w:r>
          </w:p>
          <w:p w:rsidR="00F84CC8" w:rsidRPr="006C7FC4" w:rsidRDefault="00F84CC8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514FFC" w:rsidRPr="00331575" w:rsidTr="00514FFC">
        <w:trPr>
          <w:trHeight w:val="369"/>
        </w:trPr>
        <w:tc>
          <w:tcPr>
            <w:tcW w:w="2835" w:type="dxa"/>
          </w:tcPr>
          <w:p w:rsidR="00514FFC" w:rsidRPr="006C7FC4" w:rsidRDefault="00514FFC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</w:tc>
        <w:tc>
          <w:tcPr>
            <w:tcW w:w="7088" w:type="dxa"/>
          </w:tcPr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514FFC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88" w:type="dxa"/>
          </w:tcPr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ПК-4.3. Совершает процессуальные действия в качестве представителя органов государственного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 </w:t>
            </w:r>
            <w:proofErr w:type="gramStart"/>
            <w:r w:rsidRPr="006C7FC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FC4">
              <w:rPr>
                <w:rFonts w:ascii="Times New Roman" w:hAnsi="Times New Roman"/>
                <w:sz w:val="24"/>
                <w:szCs w:val="24"/>
              </w:rPr>
              <w:t xml:space="preserve"> консультировать по вопросам трудового законодательства и иных нормативных правовых актов, содержащих нормы трудового права, и представлять интересы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работодателей и иных лиц в органах по труду, судах, иных органах публичной власти</w:t>
            </w:r>
          </w:p>
        </w:tc>
        <w:tc>
          <w:tcPr>
            <w:tcW w:w="7088" w:type="dxa"/>
            <w:vAlign w:val="center"/>
          </w:tcPr>
          <w:p w:rsidR="006C7FC4" w:rsidRPr="006C7FC4" w:rsidRDefault="006C7FC4" w:rsidP="006C7FC4">
            <w:pPr>
              <w:pStyle w:val="ab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ПК-5.3. Составляет возражения на акты проверок соблюдения трудового законодательства и иных нормативных правовых </w:t>
            </w:r>
            <w:r w:rsidRPr="006C7FC4">
              <w:rPr>
                <w:rFonts w:ascii="Times New Roman" w:hAnsi="Times New Roman"/>
                <w:sz w:val="24"/>
                <w:szCs w:val="24"/>
              </w:rPr>
              <w:lastRenderedPageBreak/>
              <w:t>актов, содержащих нормы трудового права; заявления, жалобы на решения органов по труду, действия (бездействие)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lastRenderedPageBreak/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на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</w:t>
      </w:r>
      <w:proofErr w:type="spellEnd"/>
      <w:r w:rsidR="00640C5D">
        <w:rPr>
          <w:rStyle w:val="41"/>
          <w:rFonts w:ascii="Times New Roman" w:hAnsi="Times New Roman"/>
          <w:sz w:val="24"/>
          <w:szCs w:val="24"/>
        </w:rPr>
        <w:t>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</w:t>
            </w:r>
            <w:proofErr w:type="gramStart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proofErr w:type="gramEnd"/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 xml:space="preserve">Информационные </w:t>
      </w:r>
      <w:proofErr w:type="spellStart"/>
      <w:r w:rsidRPr="00E96B17">
        <w:rPr>
          <w:rFonts w:ascii="Times New Roman" w:eastAsia="Batang" w:hAnsi="Times New Roman"/>
          <w:b/>
          <w:bCs/>
          <w:sz w:val="24"/>
          <w:szCs w:val="24"/>
        </w:rPr>
        <w:t>ресурсыУниверситета</w:t>
      </w:r>
      <w:proofErr w:type="spell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6816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Российской Федерации. </w:t>
      </w:r>
      <w:proofErr w:type="gramStart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 xml:space="preserve">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</w:t>
      </w:r>
      <w:proofErr w:type="spellStart"/>
      <w:r w:rsidRPr="0038425C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8425C">
        <w:rPr>
          <w:rFonts w:ascii="Times New Roman" w:eastAsia="Times New Roman" w:hAnsi="Times New Roman"/>
          <w:sz w:val="24"/>
          <w:szCs w:val="24"/>
        </w:rPr>
        <w:t>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Федеральный закон от 08.03.2011 N 35-ФЗ "Устав о дисциплине работников организаций, эксплуатирующих особо </w:t>
      </w:r>
      <w:proofErr w:type="spellStart"/>
      <w:r w:rsidRPr="0038425C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и </w:t>
      </w:r>
      <w:proofErr w:type="spellStart"/>
      <w:r w:rsidRPr="0038425C">
        <w:rPr>
          <w:rFonts w:ascii="Times New Roman" w:hAnsi="Times New Roman"/>
          <w:sz w:val="24"/>
          <w:szCs w:val="24"/>
        </w:rPr>
        <w:t>ядерно</w:t>
      </w:r>
      <w:proofErr w:type="spellEnd"/>
      <w:r w:rsidRPr="0038425C">
        <w:rPr>
          <w:rFonts w:ascii="Times New Roman" w:hAnsi="Times New Roman"/>
          <w:sz w:val="24"/>
          <w:szCs w:val="24"/>
        </w:rPr>
        <w:t xml:space="preserve">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19 июня 2000г. № 82-ФЗ «О минимальном </w:t>
      </w:r>
      <w:proofErr w:type="gramStart"/>
      <w:r w:rsidRPr="0038425C">
        <w:rPr>
          <w:rFonts w:ascii="Times New Roman" w:eastAsia="Times New Roman" w:hAnsi="Times New Roman"/>
          <w:sz w:val="24"/>
          <w:szCs w:val="24"/>
        </w:rPr>
        <w:t>размере оплаты труда</w:t>
      </w:r>
      <w:proofErr w:type="gramEnd"/>
      <w:r w:rsidRPr="0038425C">
        <w:rPr>
          <w:rFonts w:ascii="Times New Roman" w:eastAsia="Times New Roman" w:hAnsi="Times New Roman"/>
          <w:sz w:val="24"/>
          <w:szCs w:val="24"/>
        </w:rPr>
        <w:t>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</w:t>
      </w: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9 сентября 1999г. № 1035 «О государственном надзоре и </w:t>
      </w:r>
      <w:proofErr w:type="gramStart"/>
      <w:r w:rsidRPr="0038425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</w:t>
      </w:r>
      <w:proofErr w:type="gramEnd"/>
      <w:r w:rsidRPr="0038425C">
        <w:rPr>
          <w:rFonts w:ascii="Times New Roman" w:hAnsi="Times New Roman"/>
          <w:sz w:val="24"/>
          <w:szCs w:val="24"/>
        </w:rPr>
        <w:t xml:space="preserve">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</w:t>
      </w:r>
      <w:proofErr w:type="spellStart"/>
      <w:r w:rsidRPr="0038425C">
        <w:rPr>
          <w:rFonts w:ascii="Times New Roman" w:hAnsi="Times New Roman"/>
          <w:sz w:val="24"/>
          <w:szCs w:val="24"/>
        </w:rPr>
        <w:t>Труновой</w:t>
      </w:r>
      <w:proofErr w:type="spellEnd"/>
      <w:r w:rsidRPr="0038425C">
        <w:rPr>
          <w:rFonts w:ascii="Times New Roman" w:hAnsi="Times New Roman"/>
          <w:sz w:val="24"/>
          <w:szCs w:val="24"/>
        </w:rPr>
        <w:t>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="000551B0"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="000551B0">
        <w:rPr>
          <w:rFonts w:ascii="Times New Roman" w:hAnsi="Times New Roman"/>
          <w:sz w:val="20"/>
          <w:szCs w:val="20"/>
        </w:rPr>
        <w:t>преддипломная</w:t>
      </w:r>
      <w:proofErr w:type="gramEnd"/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ОПК</w:t>
      </w:r>
      <w:r w:rsidR="006B2C3F" w:rsidRPr="006B2C3F">
        <w:rPr>
          <w:rFonts w:ascii="Times New Roman" w:hAnsi="Times New Roman"/>
          <w:bCs/>
          <w:sz w:val="20"/>
          <w:szCs w:val="20"/>
        </w:rPr>
        <w:t>-1</w:t>
      </w:r>
      <w:r w:rsidR="00147064">
        <w:rPr>
          <w:rFonts w:ascii="Times New Roman" w:hAnsi="Times New Roman"/>
          <w:bCs/>
          <w:sz w:val="20"/>
          <w:szCs w:val="20"/>
        </w:rPr>
        <w:t xml:space="preserve">, </w:t>
      </w:r>
      <w:r w:rsidR="006B2C3F">
        <w:rPr>
          <w:rFonts w:ascii="Times New Roman" w:hAnsi="Times New Roman"/>
          <w:bCs/>
          <w:sz w:val="20"/>
          <w:szCs w:val="20"/>
        </w:rPr>
        <w:t xml:space="preserve">ПК- 2, ПК-3, ПК-4, </w:t>
      </w:r>
      <w:r w:rsidR="00147064">
        <w:rPr>
          <w:rFonts w:ascii="Times New Roman" w:hAnsi="Times New Roman"/>
          <w:bCs/>
          <w:sz w:val="20"/>
          <w:szCs w:val="20"/>
        </w:rPr>
        <w:t>ПК -5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>производственную  практику (</w:t>
      </w:r>
      <w:r w:rsidR="000551B0">
        <w:rPr>
          <w:rFonts w:ascii="Times New Roman" w:hAnsi="Times New Roman"/>
          <w:bCs/>
          <w:sz w:val="24"/>
          <w:szCs w:val="24"/>
        </w:rPr>
        <w:t>преддипломная</w:t>
      </w:r>
      <w:r w:rsidRPr="007B2759">
        <w:rPr>
          <w:rFonts w:ascii="Times New Roman" w:hAnsi="Times New Roman"/>
          <w:bCs/>
          <w:sz w:val="24"/>
          <w:szCs w:val="24"/>
        </w:rPr>
        <w:t xml:space="preserve">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="000551B0">
        <w:rPr>
          <w:rFonts w:ascii="Times New Roman" w:hAnsi="Times New Roman"/>
          <w:sz w:val="26"/>
          <w:szCs w:val="26"/>
        </w:rPr>
        <w:t>преддипломная</w:t>
      </w:r>
      <w:proofErr w:type="gramEnd"/>
      <w:r w:rsidRPr="007B2759">
        <w:rPr>
          <w:rFonts w:ascii="Times New Roman" w:hAnsi="Times New Roman"/>
          <w:sz w:val="26"/>
          <w:szCs w:val="26"/>
        </w:rPr>
        <w:t>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="000551B0">
        <w:rPr>
          <w:rFonts w:ascii="Times New Roman" w:hAnsi="Times New Roman"/>
          <w:bCs/>
          <w:sz w:val="20"/>
          <w:szCs w:val="20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2" w:rsidRDefault="00681662" w:rsidP="00846A3D">
      <w:pPr>
        <w:spacing w:after="0" w:line="240" w:lineRule="auto"/>
      </w:pPr>
      <w:r>
        <w:separator/>
      </w:r>
    </w:p>
  </w:endnote>
  <w:endnote w:type="continuationSeparator" w:id="0">
    <w:p w:rsidR="00681662" w:rsidRDefault="00681662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227CDD" w:rsidRDefault="00704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2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27CDD" w:rsidRDefault="00227CD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2" w:rsidRDefault="00681662" w:rsidP="00846A3D">
      <w:pPr>
        <w:spacing w:after="0" w:line="240" w:lineRule="auto"/>
      </w:pPr>
      <w:r>
        <w:separator/>
      </w:r>
    </w:p>
  </w:footnote>
  <w:footnote w:type="continuationSeparator" w:id="0">
    <w:p w:rsidR="00681662" w:rsidRDefault="00681662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30937"/>
    <w:rsid w:val="000408A5"/>
    <w:rsid w:val="00043099"/>
    <w:rsid w:val="000551B0"/>
    <w:rsid w:val="00077E66"/>
    <w:rsid w:val="00084188"/>
    <w:rsid w:val="000A4243"/>
    <w:rsid w:val="000C21CC"/>
    <w:rsid w:val="00113E15"/>
    <w:rsid w:val="00126E67"/>
    <w:rsid w:val="00132D25"/>
    <w:rsid w:val="00147064"/>
    <w:rsid w:val="001E07B6"/>
    <w:rsid w:val="001E0BDC"/>
    <w:rsid w:val="00200028"/>
    <w:rsid w:val="00213649"/>
    <w:rsid w:val="0021639B"/>
    <w:rsid w:val="00227CDD"/>
    <w:rsid w:val="00243872"/>
    <w:rsid w:val="00250C4C"/>
    <w:rsid w:val="00262DD7"/>
    <w:rsid w:val="002667A5"/>
    <w:rsid w:val="00282AB6"/>
    <w:rsid w:val="002D1398"/>
    <w:rsid w:val="003115C4"/>
    <w:rsid w:val="00311F47"/>
    <w:rsid w:val="003731E5"/>
    <w:rsid w:val="003E05E8"/>
    <w:rsid w:val="0040041C"/>
    <w:rsid w:val="004279EC"/>
    <w:rsid w:val="004758D2"/>
    <w:rsid w:val="004D41F0"/>
    <w:rsid w:val="004F28AA"/>
    <w:rsid w:val="004F63C5"/>
    <w:rsid w:val="00514FFC"/>
    <w:rsid w:val="005211CA"/>
    <w:rsid w:val="0052593A"/>
    <w:rsid w:val="00560807"/>
    <w:rsid w:val="005A6FE6"/>
    <w:rsid w:val="005D15D2"/>
    <w:rsid w:val="005F670F"/>
    <w:rsid w:val="00621452"/>
    <w:rsid w:val="00640C5D"/>
    <w:rsid w:val="00664B6E"/>
    <w:rsid w:val="00681662"/>
    <w:rsid w:val="0069074F"/>
    <w:rsid w:val="00691DDD"/>
    <w:rsid w:val="006B2C3F"/>
    <w:rsid w:val="006C7FC4"/>
    <w:rsid w:val="006F6464"/>
    <w:rsid w:val="00701E7F"/>
    <w:rsid w:val="00704409"/>
    <w:rsid w:val="0075319C"/>
    <w:rsid w:val="00755E0A"/>
    <w:rsid w:val="00792B38"/>
    <w:rsid w:val="007B2759"/>
    <w:rsid w:val="00846A3D"/>
    <w:rsid w:val="008777F3"/>
    <w:rsid w:val="00881825"/>
    <w:rsid w:val="008C2523"/>
    <w:rsid w:val="008F76CE"/>
    <w:rsid w:val="00936B29"/>
    <w:rsid w:val="00975873"/>
    <w:rsid w:val="00A05ACD"/>
    <w:rsid w:val="00A37168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21E6C"/>
    <w:rsid w:val="00D6259A"/>
    <w:rsid w:val="00D715B2"/>
    <w:rsid w:val="00D92A5B"/>
    <w:rsid w:val="00DF202B"/>
    <w:rsid w:val="00E058A4"/>
    <w:rsid w:val="00E35225"/>
    <w:rsid w:val="00E73935"/>
    <w:rsid w:val="00E96B17"/>
    <w:rsid w:val="00ED0F27"/>
    <w:rsid w:val="00F45F4A"/>
    <w:rsid w:val="00F72158"/>
    <w:rsid w:val="00F84CC8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D2EE-4930-45FF-B232-044B8B6F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2022-11-01T06:24:00Z</dcterms:created>
  <dcterms:modified xsi:type="dcterms:W3CDTF">2022-11-01T06:30:00Z</dcterms:modified>
</cp:coreProperties>
</file>