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F" w:rsidRPr="00A21B99" w:rsidRDefault="007339FF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</w:rPr>
      </w:pP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339FF" w:rsidRPr="00A21B99" w:rsidRDefault="007339FF" w:rsidP="007339FF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7339FF" w:rsidRPr="00D7701C" w:rsidRDefault="007339FF" w:rsidP="007339FF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практики 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986768" w:rsidRDefault="0040285E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Обеспечение исполнения решений суда</w:t>
      </w: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Pr="00D7701C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919" w:rsidRDefault="00CD0919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Pr="007550E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08" w:rsidRPr="00D7701C" w:rsidRDefault="006F4D0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F07">
        <w:rPr>
          <w:rFonts w:ascii="Times New Roman" w:hAnsi="Times New Roman" w:cs="Times New Roman"/>
          <w:b/>
          <w:sz w:val="28"/>
          <w:szCs w:val="28"/>
        </w:rPr>
        <w:t>2020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производственной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 судебное администрирование.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программы: Латы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BA09AC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</w:t>
      </w:r>
      <w:r w:rsid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СЗФ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BA09AC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2724" w:rsidRDefault="00382724" w:rsidP="003827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192" w:rsidRPr="004940B1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92" w:rsidRPr="004940B1" w:rsidRDefault="00690192" w:rsidP="00690192">
      <w:pPr>
        <w:suppressAutoHyphens/>
        <w:jc w:val="both"/>
        <w:rPr>
          <w:sz w:val="24"/>
          <w:szCs w:val="24"/>
        </w:rPr>
      </w:pPr>
    </w:p>
    <w:p w:rsidR="00690192" w:rsidRPr="000A0E4E" w:rsidRDefault="00690192" w:rsidP="00690192">
      <w:pPr>
        <w:pStyle w:val="1"/>
        <w:rPr>
          <w:b/>
          <w:sz w:val="24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6768" w:rsidRDefault="0098676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051317" w:rsidRDefault="00C96F07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Pr="00051317" w:rsidRDefault="00B24834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© </w:t>
      </w:r>
      <w:r w:rsidR="006F4D08">
        <w:rPr>
          <w:rFonts w:ascii="Times New Roman" w:eastAsia="Calibri" w:hAnsi="Times New Roman" w:cs="Times New Roman"/>
          <w:sz w:val="20"/>
          <w:szCs w:val="20"/>
          <w:lang w:eastAsia="en-US"/>
        </w:rPr>
        <w:t>Латышева Н.А.</w:t>
      </w:r>
      <w:r w:rsidR="00C96F07">
        <w:rPr>
          <w:rFonts w:ascii="Times New Roman" w:eastAsia="Calibri" w:hAnsi="Times New Roman" w:cs="Times New Roman"/>
          <w:sz w:val="20"/>
          <w:szCs w:val="20"/>
          <w:lang w:eastAsia="en-US"/>
        </w:rPr>
        <w:t>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690192" w:rsidRPr="006008FF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98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986768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D6DB8" w:rsidRDefault="00CD6DB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3123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BA09AC" w:rsidRDefault="00C96F07" w:rsidP="00BA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F07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477D2F">
        <w:rPr>
          <w:rFonts w:ascii="Times New Roman" w:hAnsi="Times New Roman" w:cs="Times New Roman"/>
          <w:sz w:val="24"/>
          <w:szCs w:val="24"/>
        </w:rPr>
        <w:t xml:space="preserve">329 и </w:t>
      </w:r>
      <w:r w:rsidRPr="00C96F0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r w:rsidR="00BA09AC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BA09AC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BA09AC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BA09AC" w:rsidRPr="004C7931">
        <w:rPr>
          <w:rFonts w:ascii="Times New Roman" w:hAnsi="Times New Roman" w:cs="Times New Roman"/>
          <w:sz w:val="24"/>
          <w:szCs w:val="24"/>
        </w:rPr>
        <w:t>т</w:t>
      </w:r>
      <w:r w:rsidR="00BA09AC">
        <w:rPr>
          <w:rFonts w:ascii="Times New Roman" w:hAnsi="Times New Roman" w:cs="Times New Roman"/>
          <w:sz w:val="24"/>
          <w:szCs w:val="24"/>
        </w:rPr>
        <w:t>ь</w:t>
      </w:r>
      <w:r w:rsidR="00BA09AC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BA09AC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BA09AC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C96F07" w:rsidRPr="007A08DB" w:rsidRDefault="00C96F07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</w:t>
      </w:r>
      <w:r w:rsidR="0022340B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овладение методикой служебной деятельности работников аппарата суда по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</w:t>
      </w:r>
      <w:r w:rsidR="00C83F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E156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«Организация исполнения судебных решений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5618" w:rsidRPr="00E15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>
        <w:rPr>
          <w:rFonts w:ascii="Times New Roman" w:hAnsi="Times New Roman" w:cs="Times New Roman"/>
          <w:sz w:val="23"/>
          <w:szCs w:val="23"/>
        </w:rPr>
        <w:t xml:space="preserve">ПМ 05 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E1561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исполнения судебных решений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CB088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E77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3 курсе в 6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23" w:rsidRPr="008B7F86" w:rsidRDefault="00CA3123" w:rsidP="00CA31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Место прохождения производственной практики по профессиональному модулю </w:t>
      </w:r>
      <w:r w:rsid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исполнения судебных решений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 w:rsidR="008F0409"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0462"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 w:rsidR="00893FA5"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E7959" w:rsidRDefault="005E7959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5E7959" w:rsidRPr="005E7959" w:rsidRDefault="005E7959" w:rsidP="005E7959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1F22E0" w:rsidRDefault="005E7959" w:rsidP="005E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E7959" w:rsidRPr="001F22E0" w:rsidTr="005E7959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5A46E3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959" w:rsidRPr="001F22E0" w:rsidTr="005E7959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CA7B6B" w:rsidRDefault="00A9090B" w:rsidP="00A90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59" w:rsidRDefault="005E7959" w:rsidP="005E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5360B3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9B6625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E7959" w:rsidRPr="009B6625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E7959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Pr="005360B3" w:rsidRDefault="008F0409" w:rsidP="008F04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F0409" w:rsidRPr="002F4E98" w:rsidRDefault="008F0409" w:rsidP="008F04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F0409" w:rsidRPr="002F4E98" w:rsidRDefault="008F0409" w:rsidP="008F04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 w:rsidR="00D9611F"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8F0409" w:rsidRPr="002F4E98" w:rsidRDefault="008F0409" w:rsidP="008F04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</w:t>
      </w:r>
      <w:r w:rsidRPr="002F4E98">
        <w:rPr>
          <w:sz w:val="24"/>
          <w:szCs w:val="24"/>
        </w:rPr>
        <w:lastRenderedPageBreak/>
        <w:t xml:space="preserve">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8F0409" w:rsidRPr="000B6D2C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F0409" w:rsidRPr="007419FF" w:rsidRDefault="008F0409" w:rsidP="008F0409">
      <w:pPr>
        <w:tabs>
          <w:tab w:val="left" w:pos="8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Исполнительное производство: учебное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– М.: РАП, 2011. – 418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2017. – 235 </w:t>
      </w:r>
      <w:proofErr w:type="gram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BB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40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3398">
        <w:rPr>
          <w:rFonts w:ascii="Times New Roman" w:hAnsi="Times New Roman" w:cs="Times New Roman"/>
          <w:bCs/>
          <w:sz w:val="24"/>
          <w:szCs w:val="24"/>
        </w:rPr>
        <w:t>Парфенчиков</w:t>
      </w:r>
      <w:proofErr w:type="spellEnd"/>
      <w:r w:rsidRPr="00B53398">
        <w:rPr>
          <w:rFonts w:ascii="Times New Roman" w:hAnsi="Times New Roman" w:cs="Times New Roman"/>
          <w:bCs/>
          <w:sz w:val="24"/>
          <w:szCs w:val="24"/>
        </w:rPr>
        <w:t xml:space="preserve"> А.О.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законодательства Российской Федерации об исполнительном производстве и перспективы его развития // Закон России: опыт, анализ, практика. 2013. № 5.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Ярков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Пояснительная записка и проект Федерального закона «О присяжных судебных исполнителях»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тельного производства. 2017. № 4. С. 12-51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Нормативные </w:t>
      </w:r>
      <w:r w:rsidR="0040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правовые </w:t>
      </w: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источники: </w:t>
      </w:r>
    </w:p>
    <w:p w:rsidR="008F0409" w:rsidRPr="00E70E39" w:rsidRDefault="008F0409" w:rsidP="008F04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Федеральный конс</w:t>
      </w:r>
      <w:r w:rsidR="00C81305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альный закон от 02.10.2007 № 229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исполнительном производстве»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6F07" w:rsidRP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 общей юрисдикции»;</w:t>
      </w:r>
    </w:p>
    <w:p w:rsid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8F0409" w:rsidRPr="00B86F62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F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Постановление Пленума ВАС РФ</w:t>
      </w:r>
      <w:r w:rsidRPr="00B86F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C96F07" w:rsidRDefault="00C96F07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1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P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Ресурсы Р</w:t>
      </w:r>
      <w:r w:rsidR="00C96F07">
        <w:rPr>
          <w:rFonts w:ascii="Times New Roman" w:hAnsi="Times New Roman" w:cs="Times New Roman"/>
          <w:sz w:val="24"/>
          <w:szCs w:val="24"/>
        </w:rPr>
        <w:t>ГУП, доступные в библиотеке или</w:t>
      </w:r>
      <w:r w:rsidRPr="00AD4C88">
        <w:rPr>
          <w:rFonts w:ascii="Times New Roman" w:hAnsi="Times New Roman" w:cs="Times New Roman"/>
          <w:sz w:val="24"/>
          <w:szCs w:val="24"/>
        </w:rPr>
        <w:t xml:space="preserve"> в локальной сети  по ссылке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A5693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преподаватели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процессуального права СЗФ ФГБОУВО «РГУП»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77D2F" w:rsidRPr="009771FB" w:rsidRDefault="00477D2F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8F0409" w:rsidRDefault="008F0409" w:rsidP="008F0409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F0409" w:rsidRPr="009771FB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практики;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F0409" w:rsidRPr="009771FB" w:rsidRDefault="008F0409" w:rsidP="008F04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9" w:rsidRPr="00043753" w:rsidRDefault="008F0409" w:rsidP="008F0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задач организационного обеспечения судопроизводства и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архивного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делопроизводства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F0409" w:rsidRPr="00183E3B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F0409" w:rsidRPr="009A6A72" w:rsidRDefault="008F0409" w:rsidP="008F04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F0409" w:rsidRPr="009A6A72" w:rsidTr="00E8417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F0409" w:rsidRPr="009A6A72" w:rsidTr="00E8417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F0409" w:rsidRPr="009A405C" w:rsidRDefault="008F0409" w:rsidP="00B24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B24834" w:rsidRPr="00B24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Организация исполнения судебных решений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F0409" w:rsidRPr="009A6A72" w:rsidTr="00E8417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F0409" w:rsidRPr="009A6A72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86768" w:rsidRPr="009A6A72" w:rsidRDefault="00986768" w:rsidP="0098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409" w:rsidRPr="009A6A72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электронном виде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2.1. Осуществлять прием, регистрацию, учет и хранение судебных дел, веществе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165B" w:rsidRPr="0051165B" w:rsidRDefault="0051165B" w:rsidP="005116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65B" w:rsidRPr="0051165B" w:rsidRDefault="0051165B" w:rsidP="0051165B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51165B">
        <w:rPr>
          <w:color w:val="000000" w:themeColor="text1"/>
        </w:rPr>
        <w:t xml:space="preserve">Аттестация по итогам </w:t>
      </w:r>
      <w:proofErr w:type="spellStart"/>
      <w:r w:rsidRPr="0051165B">
        <w:rPr>
          <w:color w:val="000000" w:themeColor="text1"/>
        </w:rPr>
        <w:t>практикислужит</w:t>
      </w:r>
      <w:proofErr w:type="spellEnd"/>
      <w:r w:rsidRPr="0051165B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51165B" w:rsidRPr="0051165B" w:rsidRDefault="0051165B" w:rsidP="0051165B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51165B" w:rsidRPr="0051165B" w:rsidRDefault="0051165B" w:rsidP="0051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51165B" w:rsidRPr="00174A81" w:rsidRDefault="0051165B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4A81" w:rsidRPr="00174A81" w:rsidRDefault="00174A81" w:rsidP="00174A81">
      <w:pPr>
        <w:pStyle w:val="Default"/>
        <w:ind w:firstLine="709"/>
        <w:jc w:val="both"/>
        <w:rPr>
          <w:i/>
          <w:color w:val="auto"/>
          <w:u w:val="single"/>
        </w:rPr>
      </w:pPr>
      <w:r w:rsidRPr="00174A81">
        <w:rPr>
          <w:i/>
          <w:color w:val="auto"/>
          <w:u w:val="single"/>
        </w:rPr>
        <w:lastRenderedPageBreak/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174A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4A81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81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174A81" w:rsidRPr="00174A81" w:rsidRDefault="00174A81" w:rsidP="00174A81">
      <w:pPr>
        <w:pStyle w:val="Default"/>
        <w:ind w:firstLine="709"/>
        <w:jc w:val="both"/>
        <w:rPr>
          <w:color w:val="auto"/>
        </w:rPr>
      </w:pPr>
      <w:r w:rsidRPr="00174A81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74A81" w:rsidRPr="00174A81" w:rsidRDefault="00174A81" w:rsidP="00174A81">
      <w:pPr>
        <w:pStyle w:val="affe"/>
        <w:tabs>
          <w:tab w:val="left" w:pos="1134"/>
        </w:tabs>
        <w:rPr>
          <w:sz w:val="24"/>
          <w:szCs w:val="24"/>
        </w:rPr>
      </w:pPr>
      <w:r w:rsidRPr="00174A81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174A81" w:rsidRPr="00174A81" w:rsidRDefault="00174A81" w:rsidP="00174A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174A81" w:rsidRPr="00174A81" w:rsidRDefault="00174A81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03203" w:rsidRDefault="00403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B5659" w:rsidRPr="000B5659" w:rsidRDefault="000B5659" w:rsidP="000B5659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lastRenderedPageBreak/>
        <w:t>Приложение № 1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0B5659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B5659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организации</w:t>
      </w: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наименование организации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5659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0B5659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B5659">
        <w:rPr>
          <w:rFonts w:ascii="Times New Roman" w:eastAsia="Times New Roman" w:hAnsi="Times New Roman" w:cs="Times New Roman"/>
        </w:rPr>
        <w:t>_________курсе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проше</w:t>
      </w:r>
      <w:proofErr w:type="gramStart"/>
      <w:r w:rsidRPr="000B5659">
        <w:rPr>
          <w:rFonts w:ascii="Times New Roman" w:eastAsia="Times New Roman" w:hAnsi="Times New Roman" w:cs="Times New Roman"/>
        </w:rPr>
        <w:t>л(</w:t>
      </w:r>
      <w:proofErr w:type="gramEnd"/>
      <w:r w:rsidRPr="000B5659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0B5659">
        <w:rPr>
          <w:rFonts w:ascii="Times New Roman" w:eastAsia="Times New Roman" w:hAnsi="Times New Roman" w:cs="Times New Roman"/>
        </w:rPr>
        <w:t>учебная</w:t>
      </w:r>
      <w:proofErr w:type="gramEnd"/>
      <w:r w:rsidRPr="000B5659">
        <w:rPr>
          <w:rFonts w:ascii="Times New Roman" w:eastAsia="Times New Roman" w:hAnsi="Times New Roman" w:cs="Times New Roman"/>
        </w:rPr>
        <w:t>, по профилю специальности, 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0B5659" w:rsidRPr="000B5659" w:rsidTr="006C7A34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0B56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lastRenderedPageBreak/>
        <w:t>За время практики студент прояви</w:t>
      </w:r>
      <w:proofErr w:type="gramStart"/>
      <w:r w:rsidRPr="000B5659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B5659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7"/>
        <w:gridCol w:w="1609"/>
        <w:gridCol w:w="1760"/>
        <w:gridCol w:w="1564"/>
      </w:tblGrid>
      <w:tr w:rsidR="000B5659" w:rsidRPr="000B5659" w:rsidTr="006C7A34">
        <w:tc>
          <w:tcPr>
            <w:tcW w:w="4640" w:type="dxa"/>
            <w:vMerge w:val="restart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0B5659" w:rsidRPr="000B5659" w:rsidTr="006C7A34">
        <w:tc>
          <w:tcPr>
            <w:tcW w:w="4640" w:type="dxa"/>
            <w:vMerge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0B5659">
        <w:rPr>
          <w:rFonts w:ascii="Times New Roman" w:eastAsia="Times New Roman" w:hAnsi="Times New Roman" w:cs="Times New Roman"/>
        </w:rPr>
        <w:t>освоены</w:t>
      </w:r>
      <w:proofErr w:type="gramEnd"/>
      <w:r w:rsidRPr="000B5659">
        <w:rPr>
          <w:rFonts w:ascii="Times New Roman" w:eastAsia="Times New Roman" w:hAnsi="Times New Roman" w:cs="Times New Roman"/>
        </w:rPr>
        <w:t>/не освоены.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 П.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0B5659">
        <w:rPr>
          <w:rFonts w:ascii="Times New Roman" w:eastAsia="Times New Roman" w:hAnsi="Times New Roman" w:cs="Times New Roman"/>
        </w:rPr>
        <w:t>ознакомлен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 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>в</w:t>
      </w:r>
      <w:r w:rsidRPr="000B5659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0B5659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0B5659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0B5659">
        <w:rPr>
          <w:rFonts w:ascii="Times New Roman" w:eastAsia="Times New Roman" w:hAnsi="Times New Roman" w:cs="Times New Roman"/>
        </w:rPr>
        <w:t>курса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0B5659" w:rsidRPr="000B5659" w:rsidRDefault="000B5659" w:rsidP="000B565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 И. О.)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г. Санкт-Петербург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  <w:r w:rsidRPr="000B5659">
        <w:rPr>
          <w:rFonts w:ascii="Times New Roman" w:eastAsia="Times New Roman" w:hAnsi="Times New Roman" w:cs="Times New Roman"/>
        </w:rPr>
        <w:lastRenderedPageBreak/>
        <w:t>1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должность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ФИО студента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Памятка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ВО ВРЕМЯ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0B5659">
        <w:rPr>
          <w:rFonts w:ascii="Times New Roman" w:eastAsia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</w:t>
      </w:r>
      <w:proofErr w:type="spellStart"/>
      <w:r w:rsidRPr="000B5659">
        <w:rPr>
          <w:rFonts w:ascii="Times New Roman" w:eastAsia="Times New Roman" w:hAnsi="Times New Roman" w:cs="Times New Roman"/>
        </w:rPr>
        <w:t>подсайте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3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0B5659">
        <w:rPr>
          <w:rFonts w:ascii="Times New Roman" w:eastAsia="Times New Roman" w:hAnsi="Times New Roman" w:cs="Times New Roman"/>
        </w:rPr>
        <w:t>нужное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4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0B5659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0B5659" w:rsidRPr="000B5659" w:rsidTr="006C7A34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0B5659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0B5659" w:rsidRPr="000B5659" w:rsidTr="006C7A34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0B5659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должность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МП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ХАРАКТЕРИСТИКА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(Ф.И.О. студента полностью)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М.П.</w:t>
      </w:r>
    </w:p>
    <w:p w:rsidR="000B5659" w:rsidRPr="000B5659" w:rsidRDefault="000B5659" w:rsidP="000B56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0B5659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Дата, подпись_________________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F349BF" w:rsidRPr="000D55A6" w:rsidRDefault="00F349BF" w:rsidP="00F34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TimesNewRoman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D30D47" w:rsidRDefault="00D30D47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D" w:rsidRDefault="00213A6D" w:rsidP="009D7640">
      <w:pPr>
        <w:spacing w:after="0" w:line="240" w:lineRule="auto"/>
      </w:pPr>
      <w:r>
        <w:separator/>
      </w:r>
    </w:p>
  </w:endnote>
  <w:end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D" w:rsidRDefault="00213A6D" w:rsidP="009D7640">
      <w:pPr>
        <w:spacing w:after="0" w:line="240" w:lineRule="auto"/>
      </w:pPr>
      <w:r>
        <w:separator/>
      </w:r>
    </w:p>
  </w:footnote>
  <w:foot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A6D"/>
    <w:rsid w:val="00213C46"/>
    <w:rsid w:val="002223D4"/>
    <w:rsid w:val="002232C0"/>
    <w:rsid w:val="0022340B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3F04"/>
    <w:rsid w:val="00294C33"/>
    <w:rsid w:val="0029634F"/>
    <w:rsid w:val="002A2310"/>
    <w:rsid w:val="002A3723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740AA"/>
    <w:rsid w:val="0047780D"/>
    <w:rsid w:val="00477D2F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07BFD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5F4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1142"/>
    <w:rsid w:val="00B74316"/>
    <w:rsid w:val="00B919D7"/>
    <w:rsid w:val="00B91EF6"/>
    <w:rsid w:val="00B96AF6"/>
    <w:rsid w:val="00BA0097"/>
    <w:rsid w:val="00BA09AC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123F1"/>
    <w:rsid w:val="00C124F4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DB8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516C"/>
    <w:rsid w:val="00E70E39"/>
    <w:rsid w:val="00E771D2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596"/>
    <w:rsid w:val="00EC162D"/>
    <w:rsid w:val="00EC1AFB"/>
    <w:rsid w:val="00EC4556"/>
    <w:rsid w:val="00EC7462"/>
    <w:rsid w:val="00ED0867"/>
    <w:rsid w:val="00EE7696"/>
    <w:rsid w:val="00EE79A3"/>
    <w:rsid w:val="00EF1EA7"/>
    <w:rsid w:val="00EF2A23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s://fsspr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1CB-B313-4928-ADF8-0FA9DAE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25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160</cp:revision>
  <cp:lastPrinted>2019-02-15T13:40:00Z</cp:lastPrinted>
  <dcterms:created xsi:type="dcterms:W3CDTF">2017-09-20T17:29:00Z</dcterms:created>
  <dcterms:modified xsi:type="dcterms:W3CDTF">2020-05-17T23:07:00Z</dcterms:modified>
</cp:coreProperties>
</file>