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88" w:rsidRDefault="002369A7">
      <w:pPr>
        <w:pStyle w:val="LO-normal"/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Верховный Суд Российской Федерации</w:t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</w:rPr>
      </w:pPr>
    </w:p>
    <w:p w:rsidR="00A70D88" w:rsidRDefault="002369A7">
      <w:pPr>
        <w:pStyle w:val="LO-normal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228725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Северо-Западный филиал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color w:val="000000"/>
        </w:rPr>
        <w:t>Федерального государственного бюджетного образовательного учреждения высшего образования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«Российский государственный университет правосудия»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color w:val="000000"/>
        </w:rPr>
        <w:t>(г. Санкт-Петербург)</w:t>
      </w:r>
    </w:p>
    <w:p w:rsidR="00A70D88" w:rsidRDefault="00A70D88">
      <w:pPr>
        <w:pStyle w:val="LO-normal"/>
        <w:spacing w:after="0" w:line="240" w:lineRule="auto"/>
        <w:jc w:val="center"/>
        <w:rPr>
          <w:color w:val="000000"/>
          <w:sz w:val="20"/>
          <w:szCs w:val="20"/>
        </w:rPr>
      </w:pP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КАФЕДРА ГРАЖДАНСКОГО ПРАВА </w:t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 xml:space="preserve">Уважаемые </w:t>
      </w:r>
      <w:r>
        <w:rPr>
          <w:b/>
          <w:color w:val="000000"/>
          <w:sz w:val="36"/>
          <w:szCs w:val="36"/>
        </w:rPr>
        <w:t>студенты</w:t>
      </w:r>
      <w:r>
        <w:rPr>
          <w:b/>
          <w:color w:val="000000"/>
          <w:sz w:val="36"/>
          <w:szCs w:val="36"/>
        </w:rPr>
        <w:t>!</w:t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</w:rPr>
      </w:pPr>
    </w:p>
    <w:p w:rsidR="00A70D88" w:rsidRDefault="002369A7">
      <w:pPr>
        <w:pStyle w:val="LO-normal"/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Приглашаем Вас принять участие в Конкурсе научных работ </w:t>
      </w:r>
    </w:p>
    <w:p w:rsidR="00A70D88" w:rsidRDefault="002369A7">
      <w:pPr>
        <w:pStyle w:val="LO-normal"/>
        <w:spacing w:after="0"/>
        <w:jc w:val="center"/>
        <w:rPr>
          <w:color w:val="000000"/>
        </w:rPr>
      </w:pPr>
      <w:r>
        <w:rPr>
          <w:b/>
          <w:color w:val="000000"/>
        </w:rPr>
        <w:t>студентов, обучающихся по направлени</w:t>
      </w:r>
      <w:r>
        <w:rPr>
          <w:b/>
          <w:color w:val="000000"/>
        </w:rPr>
        <w:t>ю</w:t>
      </w:r>
      <w:r>
        <w:rPr>
          <w:b/>
          <w:color w:val="000000"/>
        </w:rPr>
        <w:t xml:space="preserve"> подготовки 40.03.01 юриспруденция (квалификация (степень) «бакалавр») и специальности 40.05.04 судебная и прокурорская деятельность (квалифи</w:t>
      </w:r>
      <w:r>
        <w:rPr>
          <w:b/>
          <w:color w:val="000000"/>
        </w:rPr>
        <w:t>кация (степень) «специалист»)</w:t>
      </w:r>
    </w:p>
    <w:p w:rsidR="00A70D88" w:rsidRDefault="00A70D88">
      <w:pPr>
        <w:pStyle w:val="LO-normal"/>
        <w:spacing w:after="0" w:line="240" w:lineRule="auto"/>
        <w:rPr>
          <w:b/>
          <w:color w:val="000000"/>
        </w:rPr>
      </w:pP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«ЗАКОНОДАТЕЛЬСТВО ГОСУДАРСТВ-УЧАСТНИКОВ СОДРУЖЕСТВА НЕЗАВИСИМЫХ ГОСУДАРСТВ (СНГ) ОБ ОБЯЗАТЕЛЬСТВАХ ИЗ ПУБЛИЧНОГО ОБЕЩАНИЯ НАГРАДЫ, ПУБЛИЧНОГО КОНКУРСА, ИГР И ПАРИ И ПРАКТИКА ЕГО ПРИМЕНЕНИЯ»</w:t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</w:rPr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 xml:space="preserve">Цель Конкурса: </w:t>
      </w:r>
      <w:r>
        <w:rPr>
          <w:color w:val="000000"/>
        </w:rPr>
        <w:t>развитие практическ</w:t>
      </w:r>
      <w:r>
        <w:rPr>
          <w:color w:val="000000"/>
        </w:rPr>
        <w:t xml:space="preserve">их навыков поиска и сравнительного исследования национальных правовых актов государств-участников СНГ и практики их применения в целях оценки соответствия правового регулирования обязательств из публичного обещания награды, публичного конкурса, игр и пари </w:t>
      </w:r>
      <w:r>
        <w:rPr>
          <w:color w:val="000000"/>
        </w:rPr>
        <w:t>современным потребностях стран СНГ.</w:t>
      </w:r>
    </w:p>
    <w:p w:rsidR="00A70D88" w:rsidRDefault="00A70D88">
      <w:pPr>
        <w:pStyle w:val="LO-normal"/>
        <w:spacing w:after="0" w:line="240" w:lineRule="auto"/>
        <w:ind w:firstLine="709"/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 xml:space="preserve"> Задачи Конкурса: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- выявление талантливых, инициативных и творчески работающих студентов для их последующего привлечения к дальнейшей научно-исследовательской работе;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- развитие навыков и умений студентов по поиску и </w:t>
      </w:r>
      <w:r>
        <w:rPr>
          <w:color w:val="000000"/>
        </w:rPr>
        <w:t>исследованию норм законодательств государств-участников СНГ и практики его применения;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 xml:space="preserve">- приобретение студентами навыков проведения мониторингов законодательства и </w:t>
      </w:r>
      <w:proofErr w:type="spell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>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- освоение навыков оценки правового регулирования на соответствие современн</w:t>
      </w:r>
      <w:r>
        <w:rPr>
          <w:color w:val="000000"/>
        </w:rPr>
        <w:t>ым потребностям общества.</w:t>
      </w:r>
    </w:p>
    <w:p w:rsidR="00A70D88" w:rsidRDefault="00A70D88">
      <w:pPr>
        <w:pStyle w:val="LO-normal"/>
        <w:spacing w:after="0" w:line="240" w:lineRule="auto"/>
        <w:ind w:firstLine="709"/>
        <w:rPr>
          <w:color w:val="000000"/>
        </w:rPr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>Условия участия в Конкурсе: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В Конкурсе могут принимать участие студенты старших курсов юридических факультетов высших учебных заведений, обучающиеся по направлени</w:t>
      </w:r>
      <w:r>
        <w:rPr>
          <w:color w:val="000000"/>
        </w:rPr>
        <w:t>ю</w:t>
      </w:r>
      <w:r>
        <w:rPr>
          <w:color w:val="000000"/>
        </w:rPr>
        <w:t xml:space="preserve"> подготовки 40.03.01 юриспруденция (квалификация (степень) «бакалавр») и специальности 40.05.04 судебная и прокурорская деятельность (квалификация (степень) «специалист»).</w:t>
      </w:r>
    </w:p>
    <w:p w:rsidR="00A70D88" w:rsidRDefault="002369A7">
      <w:pPr>
        <w:pStyle w:val="LO-normal"/>
        <w:spacing w:after="0" w:line="240" w:lineRule="auto"/>
        <w:ind w:firstLine="709"/>
      </w:pPr>
      <w:r>
        <w:rPr>
          <w:color w:val="000000"/>
        </w:rPr>
        <w:t xml:space="preserve">Для участия в Конкурсе необходимо в срок до </w:t>
      </w:r>
      <w:r>
        <w:rPr>
          <w:b/>
          <w:color w:val="000000"/>
        </w:rPr>
        <w:t xml:space="preserve">20 мая 2023 года </w:t>
      </w:r>
      <w:r>
        <w:rPr>
          <w:color w:val="000000"/>
        </w:rPr>
        <w:t>(включительно) направит</w:t>
      </w:r>
      <w:r>
        <w:rPr>
          <w:color w:val="000000"/>
        </w:rPr>
        <w:t xml:space="preserve">ь заявку (Приложение 1), </w:t>
      </w:r>
      <w:r>
        <w:rPr>
          <w:color w:val="000000"/>
        </w:rPr>
        <w:t>науч</w:t>
      </w:r>
      <w:r>
        <w:rPr>
          <w:color w:val="000000"/>
        </w:rPr>
        <w:t xml:space="preserve">ную работу в электронном виде по электронному адресу: </w:t>
      </w:r>
      <w:hyperlink r:id="rId6">
        <w:r>
          <w:rPr>
            <w:b/>
            <w:color w:val="000000"/>
            <w:u w:val="single"/>
          </w:rPr>
          <w:t>kaf.gp@szfrgup.ru</w:t>
        </w:r>
      </w:hyperlink>
      <w:r>
        <w:rPr>
          <w:b/>
          <w:color w:val="000000"/>
        </w:rPr>
        <w:t xml:space="preserve"> (с пометкой в теме письма «Конкурс»)</w:t>
      </w:r>
      <w:r>
        <w:rPr>
          <w:color w:val="000000"/>
        </w:rPr>
        <w:t>.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Фактом принятия работы на Конкурс считается ответное электронное письмо с</w:t>
      </w:r>
      <w:r>
        <w:rPr>
          <w:color w:val="000000"/>
        </w:rPr>
        <w:t xml:space="preserve"> присвоением уникального номера участника. Для участия в Конкурсе принимаются только ранее неопубликованные оригинальные работы. Заявка представляется в электронном виде на русском языке. Рекомендуемая последовательность оформления работы: заявка участника</w:t>
      </w:r>
      <w:r>
        <w:rPr>
          <w:color w:val="000000"/>
        </w:rPr>
        <w:t xml:space="preserve"> конкурса; </w:t>
      </w:r>
      <w:r>
        <w:rPr>
          <w:color w:val="000000"/>
        </w:rPr>
        <w:t>научная работа</w:t>
      </w:r>
      <w:r>
        <w:rPr>
          <w:color w:val="000000"/>
        </w:rPr>
        <w:t xml:space="preserve"> в электронном виде. Участник представляет на Конкурс не более одной работы. Работа выполняется на русском языке. На конкурс принимаются авторские работы, выполненные индивидуально. Работы, написанные в соавторстве, конкурсной коми</w:t>
      </w:r>
      <w:r>
        <w:rPr>
          <w:color w:val="000000"/>
        </w:rPr>
        <w:t>ссией не рассматриваются. Работы, не соответствующие условиям положения о конкурсе, представленные с нарушением порядка оформления или поступившие после установленного срока, конкурсной комиссией не рассматриваются. Направленные на Конкурс работы не возвра</w:t>
      </w:r>
      <w:r>
        <w:rPr>
          <w:color w:val="000000"/>
        </w:rPr>
        <w:t xml:space="preserve">щаются, рецензии авторам не выдаются.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 xml:space="preserve">20 мая 2023 года с 15.00. </w:t>
      </w:r>
      <w:r>
        <w:rPr>
          <w:color w:val="000000"/>
        </w:rPr>
        <w:t>состоится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презентация </w:t>
      </w:r>
      <w:r>
        <w:rPr>
          <w:color w:val="000000"/>
        </w:rPr>
        <w:t>научн</w:t>
      </w:r>
      <w:r>
        <w:rPr>
          <w:color w:val="000000"/>
        </w:rPr>
        <w:t>ых работ в дистанционном формате (ссылка на подключение будет выслана участникам конкурса непосредственно перед презентацией). Время выступления каждого участника к</w:t>
      </w:r>
      <w:r>
        <w:rPr>
          <w:color w:val="000000"/>
        </w:rPr>
        <w:t>онкурса – не более 7 минут.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При обсуждении лучших работ и определении победителей Конкурса конкурсной комиссией учитываются следующие критерии: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 xml:space="preserve">- актуальность рассматриваемой темы (проблемы);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>- научная новизна;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>- оригинальность авторского подхода к иссле</w:t>
      </w:r>
      <w:r>
        <w:rPr>
          <w:i/>
          <w:color w:val="000000"/>
        </w:rPr>
        <w:t xml:space="preserve">дованию темы и путям реализации рассматриваемых проблем;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 xml:space="preserve">- практическая значимость работы;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 xml:space="preserve">- использование актуальных современных информационных материалов;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 xml:space="preserve">- логичность, последовательность, аргументация и грамотность изложения материалов;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i/>
          <w:color w:val="000000"/>
        </w:rPr>
        <w:t>- качество о</w:t>
      </w:r>
      <w:r>
        <w:rPr>
          <w:i/>
          <w:color w:val="000000"/>
        </w:rPr>
        <w:t xml:space="preserve">формления работы.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 xml:space="preserve">Работы проверяются на соответствие требованиям к оформлению, отсутствию в работах синтаксических, грамматических и орфографических ошибок. </w:t>
      </w:r>
    </w:p>
    <w:p w:rsidR="00A70D88" w:rsidRDefault="00A70D88">
      <w:pPr>
        <w:pStyle w:val="LO-normal"/>
        <w:spacing w:after="0" w:line="240" w:lineRule="auto"/>
        <w:ind w:firstLine="709"/>
        <w:rPr>
          <w:color w:val="000000"/>
        </w:rPr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>Основные положения доклада: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r>
        <w:rPr>
          <w:color w:val="000000"/>
        </w:rPr>
        <w:t>1.</w:t>
      </w:r>
      <w:r>
        <w:rPr>
          <w:color w:val="000000"/>
        </w:rPr>
        <w:tab/>
        <w:t>обзор нормативных правовых актов государств-участников СНГ по клю</w:t>
      </w:r>
      <w:r>
        <w:rPr>
          <w:color w:val="000000"/>
        </w:rPr>
        <w:t>чевым вопросам тематики Конкурса с выявлением пробелов, противоречий, неэффективных и устаревших норм права (на примере  одного, нескольких или всех государств-участников СНГ);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r>
        <w:rPr>
          <w:color w:val="000000"/>
        </w:rPr>
        <w:t>2.</w:t>
      </w:r>
      <w:r>
        <w:rPr>
          <w:color w:val="000000"/>
        </w:rPr>
        <w:tab/>
        <w:t>обзор материалов правоприменительной практики государств-участников СНГ и вы</w:t>
      </w:r>
      <w:r>
        <w:rPr>
          <w:color w:val="000000"/>
        </w:rPr>
        <w:t>воды о наличии выявленных проблем применения законодательства по тематике Конкурса (на примере одного, нескольких или всех государств-участников СНГ);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r>
        <w:rPr>
          <w:color w:val="000000"/>
        </w:rPr>
        <w:t>3.</w:t>
      </w:r>
      <w:r>
        <w:rPr>
          <w:color w:val="000000"/>
        </w:rPr>
        <w:tab/>
        <w:t xml:space="preserve">обзор норм международного </w:t>
      </w:r>
      <w:proofErr w:type="gramStart"/>
      <w:r>
        <w:rPr>
          <w:color w:val="000000"/>
        </w:rPr>
        <w:t>права</w:t>
      </w:r>
      <w:proofErr w:type="gramEnd"/>
      <w:r>
        <w:rPr>
          <w:color w:val="000000"/>
        </w:rPr>
        <w:t xml:space="preserve"> в сфере обозначенных Конкурсом отношений;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r>
        <w:rPr>
          <w:color w:val="000000"/>
        </w:rPr>
        <w:t>4.</w:t>
      </w:r>
      <w:r>
        <w:rPr>
          <w:color w:val="000000"/>
        </w:rPr>
        <w:tab/>
        <w:t>предложения о рациональны</w:t>
      </w:r>
      <w:r>
        <w:rPr>
          <w:color w:val="000000"/>
        </w:rPr>
        <w:t>х и эффективных способах решения проблем законодательства и правоприменительной практики государств-участников СНГ (на примере одного, нескольких или всех государств-участников СНГ);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r>
        <w:rPr>
          <w:color w:val="000000"/>
        </w:rPr>
        <w:t>5.</w:t>
      </w:r>
      <w:r>
        <w:rPr>
          <w:color w:val="000000"/>
        </w:rPr>
        <w:tab/>
        <w:t xml:space="preserve">предложения по приведению законодательств государств-участников СНГ в </w:t>
      </w:r>
      <w:r>
        <w:rPr>
          <w:color w:val="000000"/>
        </w:rPr>
        <w:t>соответствии с положениями международных договоров, заключенных в рамках СНГ (на примере одного, нескольких или всех государств-участников СНГ);</w:t>
      </w:r>
    </w:p>
    <w:p w:rsidR="00A70D88" w:rsidRDefault="002369A7">
      <w:pPr>
        <w:pStyle w:val="LO-normal"/>
        <w:tabs>
          <w:tab w:val="left" w:pos="1022"/>
        </w:tabs>
        <w:spacing w:after="0" w:line="240" w:lineRule="auto"/>
        <w:ind w:firstLine="709"/>
      </w:pPr>
      <w:bookmarkStart w:id="1" w:name="_gjdgxs"/>
      <w:bookmarkEnd w:id="1"/>
      <w:r>
        <w:rPr>
          <w:color w:val="000000"/>
        </w:rPr>
        <w:t>6.</w:t>
      </w:r>
      <w:r>
        <w:rPr>
          <w:color w:val="000000"/>
        </w:rPr>
        <w:tab/>
        <w:t>список использованных источников.</w:t>
      </w:r>
    </w:p>
    <w:p w:rsidR="00A70D88" w:rsidRDefault="00A70D88">
      <w:pPr>
        <w:pStyle w:val="LO-normal"/>
        <w:spacing w:after="0" w:line="240" w:lineRule="auto"/>
        <w:ind w:firstLine="709"/>
        <w:rPr>
          <w:color w:val="000000"/>
        </w:rPr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 xml:space="preserve">Конкурс проводится в один тур. 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По результатам Конкурса будут определены </w:t>
      </w:r>
      <w:r>
        <w:rPr>
          <w:color w:val="000000"/>
        </w:rPr>
        <w:t>призовые места.</w:t>
      </w:r>
    </w:p>
    <w:p w:rsidR="00A70D88" w:rsidRDefault="002369A7">
      <w:pPr>
        <w:pStyle w:val="LO-normal"/>
        <w:ind w:firstLine="708"/>
        <w:rPr>
          <w:color w:val="000000"/>
        </w:rPr>
      </w:pPr>
      <w:r>
        <w:rPr>
          <w:color w:val="000000"/>
        </w:rPr>
        <w:t xml:space="preserve">Определение победителей конкурса будет произведено </w:t>
      </w:r>
      <w:r>
        <w:rPr>
          <w:color w:val="000000"/>
          <w:u w:val="single"/>
        </w:rPr>
        <w:t>20 мая 2023 г. с последующей рассылкой дипломо</w:t>
      </w:r>
      <w:r>
        <w:rPr>
          <w:color w:val="000000"/>
          <w:u w:val="single"/>
        </w:rPr>
        <w:t>в</w:t>
      </w:r>
      <w:r>
        <w:rPr>
          <w:color w:val="000000"/>
          <w:highlight w:val="white"/>
          <w:u w:val="single"/>
        </w:rPr>
        <w:t xml:space="preserve"> и благодарностей.</w:t>
      </w:r>
    </w:p>
    <w:p w:rsidR="00A70D88" w:rsidRDefault="002369A7">
      <w:pPr>
        <w:pStyle w:val="LO-normal"/>
        <w:spacing w:after="0" w:line="240" w:lineRule="auto"/>
        <w:ind w:firstLine="708"/>
        <w:rPr>
          <w:color w:val="000000"/>
        </w:rPr>
      </w:pPr>
      <w:r>
        <w:rPr>
          <w:b/>
          <w:color w:val="000000"/>
        </w:rPr>
        <w:t>Место проведения конкурса</w:t>
      </w:r>
      <w:r>
        <w:rPr>
          <w:b/>
          <w:color w:val="000000"/>
          <w:sz w:val="20"/>
          <w:szCs w:val="20"/>
        </w:rPr>
        <w:t>: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г. Санкт-Петербург, Александровский парк, д. 5, лит. «А» Северо-Западный филиал ФГБОУВО «Российский государственный университет правосудия», адрес электронной почты: Кафедра гражданского права kaf.gp@szfrgup.ru </w:t>
      </w:r>
    </w:p>
    <w:p w:rsidR="00A70D88" w:rsidRDefault="00A70D88">
      <w:pPr>
        <w:pStyle w:val="LO-normal"/>
        <w:spacing w:after="0" w:line="240" w:lineRule="auto"/>
        <w:ind w:firstLine="709"/>
        <w:rPr>
          <w:b/>
          <w:color w:val="000000"/>
        </w:rPr>
      </w:pP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b/>
          <w:color w:val="000000"/>
        </w:rPr>
        <w:t>Контакты организационного и программного ко</w:t>
      </w:r>
      <w:r>
        <w:rPr>
          <w:b/>
          <w:color w:val="000000"/>
        </w:rPr>
        <w:t>митета: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Заведующий кафедрой гражданского права, кандидат юридических наук, доцент </w:t>
      </w:r>
      <w:proofErr w:type="spellStart"/>
      <w:r>
        <w:rPr>
          <w:color w:val="000000"/>
        </w:rPr>
        <w:t>Сварчевский</w:t>
      </w:r>
      <w:proofErr w:type="spellEnd"/>
      <w:r>
        <w:rPr>
          <w:color w:val="000000"/>
        </w:rPr>
        <w:t xml:space="preserve"> Константин Геннадьевич;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Профессор кафедры гражданского права, доктор юридических наук, доцент Гусева Татьяна Сергеевна;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Профессор кафедры гражданского права, докт</w:t>
      </w:r>
      <w:r>
        <w:rPr>
          <w:color w:val="000000"/>
        </w:rPr>
        <w:t xml:space="preserve">ор юридических наук, профессор </w:t>
      </w:r>
      <w:proofErr w:type="spellStart"/>
      <w:r>
        <w:rPr>
          <w:color w:val="000000"/>
        </w:rPr>
        <w:t>Кузбагаров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Асхат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Назаргалиевич</w:t>
      </w:r>
      <w:proofErr w:type="spellEnd"/>
      <w:r>
        <w:rPr>
          <w:color w:val="000000"/>
        </w:rPr>
        <w:t>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Доцент кафедры гражданского права, кандидат социологических наук, доцент </w:t>
      </w:r>
      <w:proofErr w:type="spellStart"/>
      <w:r>
        <w:rPr>
          <w:color w:val="000000"/>
        </w:rPr>
        <w:t>Баукин</w:t>
      </w:r>
      <w:proofErr w:type="spellEnd"/>
      <w:r>
        <w:rPr>
          <w:color w:val="000000"/>
        </w:rPr>
        <w:t xml:space="preserve"> Вячеслав Геннадьевич;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>Доцент кафедры гражданского права, кандидат юридических наук Казакова Марина Владимировна;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Доцент кафедры гражданского права, кандидат юридических наук </w:t>
      </w:r>
      <w:proofErr w:type="spellStart"/>
      <w:r>
        <w:rPr>
          <w:color w:val="000000"/>
        </w:rPr>
        <w:t>Низамова</w:t>
      </w:r>
      <w:proofErr w:type="spellEnd"/>
      <w:r>
        <w:rPr>
          <w:color w:val="000000"/>
        </w:rPr>
        <w:t xml:space="preserve"> Елена Анатольевна;</w:t>
      </w:r>
    </w:p>
    <w:p w:rsidR="00A70D88" w:rsidRDefault="002369A7">
      <w:pPr>
        <w:pStyle w:val="LO-normal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Доцент кафедры гражданского права, кандидат юридических наук Юр Игорь Петрович.</w:t>
      </w:r>
    </w:p>
    <w:p w:rsidR="00A70D88" w:rsidRDefault="00A70D88">
      <w:pPr>
        <w:pStyle w:val="LO-normal"/>
        <w:spacing w:after="0" w:line="240" w:lineRule="auto"/>
        <w:jc w:val="center"/>
        <w:rPr>
          <w:color w:val="000000"/>
        </w:rPr>
      </w:pPr>
    </w:p>
    <w:p w:rsidR="00A70D88" w:rsidRDefault="002369A7">
      <w:pPr>
        <w:pStyle w:val="LO-normal"/>
        <w:spacing w:after="0" w:line="360" w:lineRule="auto"/>
        <w:jc w:val="center"/>
      </w:pPr>
      <w:r>
        <w:rPr>
          <w:b/>
          <w:i/>
          <w:color w:val="000000"/>
          <w:u w:val="single"/>
        </w:rPr>
        <w:t>адрес электронной почты: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kaf.gp@szfrgup.ru </w:t>
      </w:r>
    </w:p>
    <w:p w:rsidR="00A70D88" w:rsidRDefault="002369A7">
      <w:pPr>
        <w:pStyle w:val="LO-normal"/>
        <w:spacing w:after="0" w:line="360" w:lineRule="auto"/>
        <w:jc w:val="center"/>
      </w:pPr>
      <w:r>
        <w:rPr>
          <w:b/>
          <w:i/>
          <w:color w:val="000000"/>
          <w:u w:val="single"/>
        </w:rPr>
        <w:t xml:space="preserve">Благодарим за проявленный интерес и будем </w:t>
      </w:r>
      <w:r>
        <w:rPr>
          <w:b/>
          <w:i/>
          <w:color w:val="000000"/>
          <w:u w:val="single"/>
        </w:rPr>
        <w:t>рады видеть Вас в числе участников.</w:t>
      </w:r>
    </w:p>
    <w:p w:rsidR="00A70D88" w:rsidRDefault="002369A7">
      <w:pPr>
        <w:pStyle w:val="LO-normal"/>
        <w:jc w:val="left"/>
        <w:rPr>
          <w:b/>
          <w:i/>
          <w:color w:val="000000"/>
          <w:u w:val="single"/>
        </w:rPr>
      </w:pPr>
      <w:r>
        <w:br w:type="page"/>
      </w:r>
    </w:p>
    <w:p w:rsidR="00A70D88" w:rsidRDefault="002369A7">
      <w:pPr>
        <w:pStyle w:val="LO-normal"/>
        <w:spacing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 1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на участие в конкурсе студенческих научных работ </w:t>
      </w:r>
    </w:p>
    <w:p w:rsidR="00A70D88" w:rsidRDefault="002369A7">
      <w:pPr>
        <w:pStyle w:val="LO-normal"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«Законодательство государств-участников СНГ об обязательствах из публичного обещания награды, публичного конкурса, игр и пари и практика его приме</w:t>
      </w:r>
      <w:r>
        <w:rPr>
          <w:b/>
          <w:color w:val="000000"/>
        </w:rPr>
        <w:t>нения»</w:t>
      </w:r>
    </w:p>
    <w:p w:rsidR="00A70D88" w:rsidRDefault="00A70D88">
      <w:pPr>
        <w:pStyle w:val="LO-normal"/>
        <w:spacing w:after="0" w:line="240" w:lineRule="auto"/>
        <w:jc w:val="center"/>
        <w:rPr>
          <w:b/>
          <w:color w:val="000000"/>
        </w:rPr>
      </w:pPr>
    </w:p>
    <w:tbl>
      <w:tblPr>
        <w:tblW w:w="9237" w:type="dxa"/>
        <w:tblInd w:w="109" w:type="dxa"/>
        <w:tblLook w:val="0400" w:firstRow="0" w:lastRow="0" w:firstColumn="0" w:lastColumn="0" w:noHBand="0" w:noVBand="1"/>
      </w:tblPr>
      <w:tblGrid>
        <w:gridCol w:w="4539"/>
        <w:gridCol w:w="4698"/>
      </w:tblGrid>
      <w:tr w:rsidR="00A70D88">
        <w:trPr>
          <w:cantSplit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A70D88">
        <w:trPr>
          <w:cantSplit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Место учебы (полностью)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A70D88">
        <w:trPr>
          <w:cantSplit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Курс, группа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A70D88">
        <w:trPr>
          <w:cantSplit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Научный руководитель  (ФИО, ученое звание, ученая степень, место работы)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A70D88">
        <w:trPr>
          <w:cantSplit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Телефон (с указанием кода города);</w:t>
            </w:r>
          </w:p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A70D88">
        <w:trPr>
          <w:cantSplit/>
          <w:trHeight w:val="897"/>
          <w:tblHeader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2369A7">
            <w:pPr>
              <w:pStyle w:val="LO-normal"/>
              <w:spacing w:after="0" w:line="240" w:lineRule="auto"/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color w:val="000000"/>
                <w:sz w:val="24"/>
                <w:szCs w:val="24"/>
              </w:rPr>
              <w:t>научной работы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88" w:rsidRDefault="00A70D88">
            <w:pPr>
              <w:pStyle w:val="LO-normal"/>
              <w:spacing w:after="0" w:line="240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</w:tbl>
    <w:p w:rsidR="00A70D88" w:rsidRDefault="00A70D88">
      <w:pPr>
        <w:pStyle w:val="LO-normal"/>
        <w:spacing w:after="0" w:line="240" w:lineRule="auto"/>
        <w:ind w:left="1134" w:firstLine="709"/>
        <w:jc w:val="right"/>
        <w:rPr>
          <w:b/>
          <w:i/>
          <w:color w:val="000000"/>
          <w:sz w:val="24"/>
          <w:szCs w:val="24"/>
        </w:rPr>
      </w:pPr>
    </w:p>
    <w:p w:rsidR="00A70D88" w:rsidRDefault="00A70D88">
      <w:pPr>
        <w:pStyle w:val="LO-normal"/>
        <w:rPr>
          <w:b/>
          <w:i/>
          <w:color w:val="000000"/>
          <w:sz w:val="24"/>
          <w:szCs w:val="24"/>
        </w:rPr>
      </w:pPr>
    </w:p>
    <w:p w:rsidR="00A70D88" w:rsidRDefault="00A70D88">
      <w:pPr>
        <w:pStyle w:val="LO-normal"/>
        <w:spacing w:after="0" w:line="240" w:lineRule="auto"/>
        <w:rPr>
          <w:color w:val="000000"/>
        </w:rPr>
      </w:pPr>
    </w:p>
    <w:sectPr w:rsidR="00A70D88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70D88"/>
    <w:rsid w:val="002369A7"/>
    <w:rsid w:val="00A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47"/>
    <w:pPr>
      <w:spacing w:after="160" w:line="259" w:lineRule="auto"/>
      <w:jc w:val="both"/>
    </w:pPr>
    <w:rPr>
      <w:sz w:val="28"/>
    </w:rPr>
  </w:style>
  <w:style w:type="paragraph" w:styleId="1">
    <w:name w:val="heading 1"/>
    <w:basedOn w:val="LO-normal"/>
    <w:next w:val="LO-normal"/>
    <w:qFormat/>
    <w:rsid w:val="00623C11"/>
    <w:pPr>
      <w:keepNext/>
      <w:spacing w:before="240" w:after="60" w:line="240" w:lineRule="auto"/>
      <w:jc w:val="center"/>
      <w:outlineLvl w:val="0"/>
    </w:pPr>
    <w:rPr>
      <w:b/>
    </w:rPr>
  </w:style>
  <w:style w:type="paragraph" w:styleId="2">
    <w:name w:val="heading 2"/>
    <w:basedOn w:val="LO-normal"/>
    <w:next w:val="LO-normal"/>
    <w:qFormat/>
    <w:rsid w:val="00623C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rsid w:val="00623C1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qFormat/>
    <w:rsid w:val="00623C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rsid w:val="00623C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rsid w:val="00623C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44C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623C11"/>
    <w:pPr>
      <w:spacing w:after="160" w:line="259" w:lineRule="auto"/>
      <w:jc w:val="both"/>
    </w:pPr>
    <w:rPr>
      <w:sz w:val="28"/>
    </w:rPr>
  </w:style>
  <w:style w:type="paragraph" w:styleId="a9">
    <w:name w:val="Title"/>
    <w:basedOn w:val="LO-normal"/>
    <w:next w:val="LO-normal"/>
    <w:qFormat/>
    <w:rsid w:val="00623C11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LO-normal"/>
    <w:next w:val="LO-normal"/>
    <w:qFormat/>
    <w:rsid w:val="00623C11"/>
    <w:pPr>
      <w:spacing w:after="60" w:line="240" w:lineRule="auto"/>
      <w:jc w:val="center"/>
    </w:pPr>
    <w:rPr>
      <w:b/>
    </w:rPr>
  </w:style>
  <w:style w:type="paragraph" w:styleId="ab">
    <w:name w:val="Balloon Text"/>
    <w:basedOn w:val="a"/>
    <w:uiPriority w:val="99"/>
    <w:semiHidden/>
    <w:unhideWhenUsed/>
    <w:qFormat/>
    <w:rsid w:val="006C44C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23C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.gp@szfrg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2023-05-04T10:54:00Z</dcterms:created>
  <dcterms:modified xsi:type="dcterms:W3CDTF">2023-05-04T10:54:00Z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