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44" w:rsidRPr="00D84AE6" w:rsidRDefault="00FF2B44" w:rsidP="00FF2B44">
      <w:pPr>
        <w:widowControl w:val="0"/>
        <w:jc w:val="center"/>
        <w:rPr>
          <w:rFonts w:eastAsia="Times New Roman" w:cs="Times New Roman"/>
          <w:b/>
          <w:lang w:eastAsia="en-US"/>
        </w:rPr>
      </w:pPr>
      <w:r w:rsidRPr="00D84AE6">
        <w:rPr>
          <w:rFonts w:eastAsia="Times New Roman" w:cs="Times New Roman"/>
          <w:b/>
          <w:lang w:eastAsia="en-US"/>
        </w:rPr>
        <w:t>Аннотация рабочей программы дисциплины</w:t>
      </w:r>
    </w:p>
    <w:p w:rsidR="00FF2B44" w:rsidRPr="00D84AE6" w:rsidRDefault="00FF2B44" w:rsidP="00FF2B44">
      <w:pPr>
        <w:widowControl w:val="0"/>
        <w:tabs>
          <w:tab w:val="left" w:pos="708"/>
          <w:tab w:val="num" w:pos="756"/>
        </w:tabs>
        <w:jc w:val="center"/>
        <w:rPr>
          <w:rFonts w:eastAsia="Times New Roman" w:cs="Times New Roman"/>
          <w:b/>
          <w:bCs/>
        </w:rPr>
      </w:pPr>
      <w:bookmarkStart w:id="0" w:name="_GoBack"/>
      <w:r w:rsidRPr="00D84AE6">
        <w:rPr>
          <w:rFonts w:eastAsia="Times New Roman" w:cs="Times New Roman"/>
          <w:b/>
          <w:bCs/>
        </w:rPr>
        <w:t>«Теоретические и практические проблемы толкования норм уголовного закона в Постановлениях Пленума Верховного Суда Российской Федерации»</w:t>
      </w:r>
      <w:bookmarkEnd w:id="0"/>
    </w:p>
    <w:p w:rsidR="00FF2B44" w:rsidRPr="00D84AE6" w:rsidRDefault="00FF2B44" w:rsidP="00FF2B44">
      <w:pPr>
        <w:widowControl w:val="0"/>
        <w:tabs>
          <w:tab w:val="left" w:pos="708"/>
          <w:tab w:val="num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</w:rPr>
        <w:t>Разработчики: Андрианов В.К., Сафонов В.Н.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FF2B44" w:rsidRPr="00D84AE6" w:rsidTr="008B36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 xml:space="preserve">- укрепление в сознании обучающихся важности роли охранительной функции права и места в ней уголовного права; 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 xml:space="preserve">- формирование углубленных знаний по вопросам преступления и наказания, имеющим универсальный характер в системе уголовно-правового регулирования; 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iCs/>
                <w:sz w:val="22"/>
                <w:szCs w:val="22"/>
                <w:lang w:eastAsia="en-US"/>
              </w:rPr>
              <w:t>- развитие у обучающихся профессиональных знаний и умений толкования и применения общих положений уголовного закона.</w:t>
            </w:r>
          </w:p>
        </w:tc>
      </w:tr>
      <w:tr w:rsidR="00FF2B44" w:rsidRPr="00D84AE6" w:rsidTr="008B36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>Б.1В.5. Дисциплина входит в профессиональный цикл (Б.1.) магистерской программы «Юри</w:t>
            </w:r>
            <w:proofErr w:type="gramStart"/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>ст в сф</w:t>
            </w:r>
            <w:proofErr w:type="gramEnd"/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>ере уголовного судопроизводства».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 xml:space="preserve">Ее базой являются такие дисциплины, как: философия права (М.2 Б.6), учение о преступлении и составе преступления (Б.1 В. 8), уголовная политика России (Б.1 В.12). </w:t>
            </w:r>
            <w:proofErr w:type="gramStart"/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>Компетенции, полученные при изучении данных дисциплин, способствуют изучению дисциплины «Теоретические и практические проблемы толкования норм уголовного закона в Постановлениях Пленума Верховного Суда Российской Федерации»; в свою очередь последняя служит основой для освоения ряда иных дисциплин:</w:t>
            </w:r>
            <w:proofErr w:type="gramEnd"/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 xml:space="preserve"> «Уголовное наказание и правила его назначения» (Б.1 В.11), «Обстоятельства, исключающие уголовную ответственность: проблемы теории и практики» (Б.1 В.В 6.2) и иных.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F2B44" w:rsidRPr="00D84AE6" w:rsidTr="008B36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en-US"/>
              </w:rPr>
              <w:t>Профессиональные компетенции: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t>ПК- 3</w:t>
            </w:r>
            <w:r w:rsidRPr="00D84AE6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>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др.):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t xml:space="preserve">ПК-4 – </w:t>
            </w:r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>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(протесты, представления, постановления и др.):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en-US"/>
              </w:rPr>
              <w:t>ПК-5 -</w:t>
            </w:r>
            <w:r w:rsidRPr="00D84AE6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>Способен</w:t>
            </w:r>
            <w:proofErr w:type="gramEnd"/>
            <w:r w:rsidRPr="00D84AE6">
              <w:rPr>
                <w:rFonts w:eastAsia="Times New Roman" w:cs="Times New Roman"/>
                <w:bCs/>
                <w:iCs/>
                <w:sz w:val="22"/>
                <w:szCs w:val="22"/>
                <w:lang w:eastAsia="en-US"/>
              </w:rPr>
              <w:t xml:space="preserve"> подготавливать консультации по правовым  вопросам (включая уголовно-правовым и уголовно-процессуальным) и подготавливать правовые документы</w:t>
            </w:r>
          </w:p>
        </w:tc>
      </w:tr>
      <w:tr w:rsidR="00FF2B44" w:rsidRPr="00D84AE6" w:rsidTr="008B36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1) Разъяснения Верховного Суда Российской Федерации в механизме уголовно-правового регулирования 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2) Разъяснения Пленума Верховного Суда Российской Федерации по общим вопросам основания уголовной ответственности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3) Разъяснения Пленума Верховного Суда Российской Федерации по вопросам наказания </w:t>
            </w: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4) Разъяснения Пленума Верховного Суда Российской Федерации по вопросам освобождения от уголовной ответственности и иных мер уголовно-правового воздействия</w:t>
            </w: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5) Разъяснения Пленума Верховного Суда Российской Федерации по вопросам применения уголовно-правовых норм об ответственности за преступления против личности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6) Разъяснения Пленума Верховного Суда Российской Федерации по вопросам применения уголовно-правовых норм об ответственности за преступления в сфере экономики</w:t>
            </w: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ab/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7) Разъяснения Пленума Верховного Суда Российской Федерации по вопросам применения уголовно-правовых норм об ответственности за преступления против общественной безопасности и общественного порядка     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8) Разъяснения Пленума Верховного Суда Российской Федерации по вопросам применения уголовно-правовых норм об ответственности за преступления против государственной власти</w:t>
            </w: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9) Разъяснения Пленума Верховного Суда Российской Федерации по вопросам применения уголовно-правовых норм об ответственности за преступления против военной службы</w:t>
            </w:r>
          </w:p>
        </w:tc>
      </w:tr>
      <w:tr w:rsidR="00FF2B44" w:rsidRPr="00D84AE6" w:rsidTr="008B36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lastRenderedPageBreak/>
              <w:t>Общая трудоемкость</w:t>
            </w:r>
            <w:r w:rsidRPr="00D84AE6">
              <w:rPr>
                <w:rFonts w:eastAsia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Общая трудоемкость дисциплины составляет 1 зачетная единица 36 часов</w:t>
            </w:r>
            <w:proofErr w:type="gramStart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о</w:t>
            </w:r>
            <w:proofErr w:type="gramEnd"/>
            <w:r w:rsidRPr="00D84AE6">
              <w:rPr>
                <w:rFonts w:eastAsia="Times New Roman" w:cs="Times New Roman"/>
                <w:sz w:val="22"/>
                <w:szCs w:val="22"/>
                <w:lang w:eastAsia="en-US"/>
              </w:rPr>
              <w:t>чно и заочно)</w:t>
            </w:r>
          </w:p>
        </w:tc>
      </w:tr>
      <w:tr w:rsidR="00FF2B44" w:rsidRPr="00D84AE6" w:rsidTr="008B362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FF2B44" w:rsidRPr="00D84AE6" w:rsidRDefault="00FF2B44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</w:pPr>
            <w:r w:rsidRPr="00D84AE6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Зачет</w:t>
            </w:r>
          </w:p>
        </w:tc>
      </w:tr>
    </w:tbl>
    <w:p w:rsidR="0044500F" w:rsidRDefault="0044500F"/>
    <w:sectPr w:rsidR="0044500F" w:rsidSect="00FF2B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44"/>
    <w:rsid w:val="0044500F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2024-03-13T08:34:00Z</dcterms:created>
  <dcterms:modified xsi:type="dcterms:W3CDTF">2024-03-13T08:34:00Z</dcterms:modified>
</cp:coreProperties>
</file>