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1"/>
        <w:jc w:val="center"/>
      </w:pPr>
      <w:bookmarkStart w:id="0" w:name="_GoBack"/>
      <w:r>
        <w:t>«Ответственность</w:t>
      </w:r>
      <w:r>
        <w:rPr>
          <w:spacing w:val="-6"/>
        </w:rPr>
        <w:t xml:space="preserve"> </w:t>
      </w:r>
      <w:r>
        <w:t>контролирующих</w:t>
      </w:r>
      <w:r>
        <w:rPr>
          <w:spacing w:val="-9"/>
        </w:rPr>
        <w:t xml:space="preserve"> </w:t>
      </w:r>
      <w:r>
        <w:t>юридическое</w:t>
      </w:r>
      <w:r>
        <w:rPr>
          <w:spacing w:val="-5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rPr>
          <w:spacing w:val="-4"/>
        </w:rPr>
        <w:t>лиц»</w:t>
      </w:r>
      <w:bookmarkEnd w:id="0"/>
    </w:p>
    <w:p w:rsidR="00821F27" w:rsidRDefault="00B63470">
      <w:pPr>
        <w:spacing w:line="275" w:lineRule="exact"/>
        <w:ind w:left="1412"/>
        <w:jc w:val="center"/>
        <w:rPr>
          <w:sz w:val="24"/>
        </w:rPr>
      </w:pPr>
      <w:r>
        <w:rPr>
          <w:sz w:val="24"/>
        </w:rPr>
        <w:t>Малкин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О.Ю.</w:t>
      </w:r>
    </w:p>
    <w:p w:rsidR="00821F27" w:rsidRDefault="00821F27">
      <w:pPr>
        <w:spacing w:before="54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894"/>
                <w:tab w:val="left" w:pos="3716"/>
                <w:tab w:val="left" w:pos="5370"/>
              </w:tabs>
              <w:spacing w:line="237" w:lineRule="auto"/>
              <w:ind w:right="95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5079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7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Тема 1. Введение в проблему «снятия корпоративной вуали». Правовые основы института «снятия корпоративной вуали» в отечественном законодательстве</w:t>
            </w:r>
          </w:p>
          <w:p w:rsidR="00821F27" w:rsidRDefault="00B63470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proofErr w:type="gramStart"/>
            <w:r>
              <w:rPr>
                <w:sz w:val="24"/>
              </w:rPr>
              <w:t xml:space="preserve">«Снятие корпоративной вуали» в англо-американской и континентальной правовых системах: сравнительно-правовая </w:t>
            </w:r>
            <w:r>
              <w:rPr>
                <w:spacing w:val="-2"/>
                <w:sz w:val="24"/>
              </w:rPr>
              <w:t>характеристика</w:t>
            </w:r>
            <w:proofErr w:type="gramEnd"/>
          </w:p>
          <w:p w:rsidR="00821F27" w:rsidRDefault="00B6347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3. Ответственность лица, уполномоченного выступать от имени юридического лица, за убытки, причиненные по его вине юридическому лицу.</w:t>
            </w:r>
          </w:p>
          <w:p w:rsidR="00821F27" w:rsidRDefault="00B63470">
            <w:pPr>
              <w:pStyle w:val="TableParagraph"/>
              <w:spacing w:line="27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Тема 4. Ответственность членов коллегиальных органов юридического лица за действия, причинившие юридическому лицу убытки.</w:t>
            </w:r>
          </w:p>
          <w:p w:rsidR="00821F27" w:rsidRDefault="00B6347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5. Ответственность лиц, определяющих действия юридического лица, за </w:t>
            </w:r>
            <w:proofErr w:type="gramStart"/>
            <w:r>
              <w:rPr>
                <w:sz w:val="24"/>
              </w:rPr>
              <w:t>убытки</w:t>
            </w:r>
            <w:proofErr w:type="gramEnd"/>
            <w:r>
              <w:rPr>
                <w:sz w:val="24"/>
              </w:rPr>
              <w:t xml:space="preserve"> причиненные по их вине юридическому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лицу.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аффилированных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821F27" w:rsidRDefault="00B6347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убытки,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зачетных единиц, 72 ч.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 w:rsidP="00213C21">
      <w:pPr>
        <w:pStyle w:val="a3"/>
        <w:spacing w:line="275" w:lineRule="exact"/>
        <w:ind w:right="1017"/>
      </w:pPr>
    </w:p>
    <w:sectPr w:rsidR="00821F27">
      <w:pgSz w:w="11910" w:h="16840"/>
      <w:pgMar w:top="10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213C21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